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8102" w14:textId="5832725B" w:rsidR="007C55CE" w:rsidRPr="00A355D5" w:rsidRDefault="007C55CE" w:rsidP="007C55CE">
      <w:pPr>
        <w:pStyle w:val="Headline"/>
        <w:rPr>
          <w:lang w:val="cs-CZ"/>
        </w:rPr>
      </w:pPr>
      <w:bookmarkStart w:id="0" w:name="_GoBack"/>
      <w:bookmarkEnd w:id="0"/>
      <w:r w:rsidRPr="00A355D5">
        <w:rPr>
          <w:lang w:val="cs-CZ"/>
        </w:rPr>
        <w:t xml:space="preserve">CBRE oznamuje letošní rekordní transakci na logistickém a industriálním trhu: </w:t>
      </w:r>
      <w:r w:rsidRPr="00A355D5">
        <w:rPr>
          <w:lang w:val="cs-CZ"/>
        </w:rPr>
        <w:br/>
      </w:r>
      <w:r w:rsidR="008E7DAE" w:rsidRPr="00A355D5">
        <w:rPr>
          <w:lang w:val="cs-CZ"/>
        </w:rPr>
        <w:t xml:space="preserve">Společnosti </w:t>
      </w:r>
      <w:r w:rsidR="00502ED9" w:rsidRPr="00A355D5">
        <w:rPr>
          <w:lang w:val="cs-CZ"/>
        </w:rPr>
        <w:t xml:space="preserve">CONCENS INVESTMENTS </w:t>
      </w:r>
      <w:r w:rsidRPr="00A355D5">
        <w:rPr>
          <w:lang w:val="cs-CZ"/>
        </w:rPr>
        <w:t xml:space="preserve">a J&amp;T </w:t>
      </w:r>
      <w:r w:rsidR="008E7DAE" w:rsidRPr="00A355D5">
        <w:rPr>
          <w:lang w:val="cs-CZ"/>
        </w:rPr>
        <w:t>dokončily</w:t>
      </w:r>
      <w:r w:rsidRPr="00A355D5">
        <w:rPr>
          <w:lang w:val="cs-CZ"/>
        </w:rPr>
        <w:t xml:space="preserve"> prodej logistického portfolia v hodnotě 150 milionů eur</w:t>
      </w:r>
    </w:p>
    <w:p w14:paraId="73E2723F" w14:textId="77777777" w:rsidR="00B532ED" w:rsidRPr="00A355D5" w:rsidRDefault="00B532ED" w:rsidP="00DB7F4A">
      <w:pPr>
        <w:pStyle w:val="Headline"/>
        <w:rPr>
          <w:lang w:val="cs-CZ"/>
        </w:rPr>
      </w:pPr>
    </w:p>
    <w:p w14:paraId="147671F9" w14:textId="295AA80A" w:rsidR="00404771" w:rsidRDefault="00DB7F4A" w:rsidP="00DB7F4A">
      <w:pPr>
        <w:pStyle w:val="BodyCopy"/>
        <w:rPr>
          <w:lang w:val="cs-CZ"/>
        </w:rPr>
      </w:pPr>
      <w:r w:rsidRPr="00A355D5">
        <w:rPr>
          <w:b/>
          <w:bCs/>
          <w:lang w:val="cs-CZ"/>
        </w:rPr>
        <w:t xml:space="preserve">Praha – </w:t>
      </w:r>
      <w:r w:rsidR="00555E73">
        <w:rPr>
          <w:b/>
          <w:bCs/>
          <w:lang w:val="cs-CZ"/>
        </w:rPr>
        <w:t>22</w:t>
      </w:r>
      <w:r w:rsidRPr="00A355D5">
        <w:rPr>
          <w:b/>
          <w:bCs/>
          <w:lang w:val="cs-CZ"/>
        </w:rPr>
        <w:t xml:space="preserve">. prosince 2021 </w:t>
      </w:r>
      <w:r w:rsidR="00A355D5">
        <w:rPr>
          <w:lang w:val="cs-CZ"/>
        </w:rPr>
        <w:t>–</w:t>
      </w:r>
      <w:r w:rsidR="00C50B0A">
        <w:rPr>
          <w:lang w:val="cs-CZ"/>
        </w:rPr>
        <w:t xml:space="preserve"> </w:t>
      </w:r>
      <w:r w:rsidR="00FA30D6" w:rsidRPr="00A355D5">
        <w:rPr>
          <w:lang w:val="cs-CZ"/>
        </w:rPr>
        <w:t xml:space="preserve">CBRE, </w:t>
      </w:r>
      <w:r w:rsidR="00A355D5" w:rsidRPr="00A355D5">
        <w:rPr>
          <w:lang w:val="cs-CZ"/>
        </w:rPr>
        <w:t>světový l</w:t>
      </w:r>
      <w:r w:rsidR="00A355D5">
        <w:rPr>
          <w:lang w:val="cs-CZ"/>
        </w:rPr>
        <w:t>ídr v oblasti komerčních realit</w:t>
      </w:r>
      <w:r w:rsidR="00404771">
        <w:rPr>
          <w:lang w:val="cs-CZ"/>
        </w:rPr>
        <w:t>, zprostředkoval</w:t>
      </w:r>
      <w:r w:rsidR="00FA30D6" w:rsidRPr="00A355D5">
        <w:rPr>
          <w:lang w:val="cs-CZ"/>
        </w:rPr>
        <w:t xml:space="preserve"> </w:t>
      </w:r>
      <w:r w:rsidR="00404771">
        <w:rPr>
          <w:lang w:val="cs-CZ"/>
        </w:rPr>
        <w:t>společnostem</w:t>
      </w:r>
      <w:r w:rsidR="00CA53E9" w:rsidRPr="00A355D5">
        <w:rPr>
          <w:lang w:val="cs-CZ"/>
        </w:rPr>
        <w:t xml:space="preserve"> </w:t>
      </w:r>
      <w:r w:rsidR="00502ED9" w:rsidRPr="00A355D5">
        <w:rPr>
          <w:lang w:val="cs-CZ"/>
        </w:rPr>
        <w:t>CONCENS INVESTMENTS</w:t>
      </w:r>
      <w:r w:rsidR="00CA53E9" w:rsidRPr="00A355D5">
        <w:rPr>
          <w:lang w:val="cs-CZ"/>
        </w:rPr>
        <w:t xml:space="preserve"> a J&amp;T prod</w:t>
      </w:r>
      <w:r w:rsidR="00FA30D6" w:rsidRPr="00A355D5">
        <w:rPr>
          <w:lang w:val="cs-CZ"/>
        </w:rPr>
        <w:t>ej</w:t>
      </w:r>
      <w:r w:rsidR="00CA53E9" w:rsidRPr="00A355D5">
        <w:rPr>
          <w:lang w:val="cs-CZ"/>
        </w:rPr>
        <w:t xml:space="preserve"> 5 skladových a výrobních hal situovaných ve</w:t>
      </w:r>
      <w:r w:rsidR="00404771">
        <w:rPr>
          <w:lang w:val="cs-CZ"/>
        </w:rPr>
        <w:t> </w:t>
      </w:r>
      <w:r w:rsidR="00CA53E9" w:rsidRPr="00A355D5">
        <w:rPr>
          <w:lang w:val="cs-CZ"/>
        </w:rPr>
        <w:t xml:space="preserve">dvou logistických parcích na Ostravsku: </w:t>
      </w:r>
      <w:proofErr w:type="spellStart"/>
      <w:r w:rsidR="00CA53E9" w:rsidRPr="00A355D5">
        <w:rPr>
          <w:lang w:val="cs-CZ"/>
        </w:rPr>
        <w:t>Logistics</w:t>
      </w:r>
      <w:proofErr w:type="spellEnd"/>
      <w:r w:rsidR="00CA53E9" w:rsidRPr="00A355D5">
        <w:rPr>
          <w:lang w:val="cs-CZ"/>
        </w:rPr>
        <w:t xml:space="preserve"> Park Nošovice a </w:t>
      </w:r>
      <w:r w:rsidR="00502ED9" w:rsidRPr="00A355D5">
        <w:rPr>
          <w:lang w:val="cs-CZ"/>
        </w:rPr>
        <w:t>OSTRAVA AIRPORT MULTIMODAL</w:t>
      </w:r>
      <w:r w:rsidR="00CA53E9" w:rsidRPr="00A355D5">
        <w:rPr>
          <w:lang w:val="cs-CZ"/>
        </w:rPr>
        <w:t xml:space="preserve"> v</w:t>
      </w:r>
      <w:r w:rsidR="00E43DD6" w:rsidRPr="00A355D5">
        <w:rPr>
          <w:lang w:val="cs-CZ"/>
        </w:rPr>
        <w:t> </w:t>
      </w:r>
      <w:r w:rsidR="00CA53E9" w:rsidRPr="00A355D5">
        <w:rPr>
          <w:lang w:val="cs-CZ"/>
        </w:rPr>
        <w:t>Mošnově.</w:t>
      </w:r>
      <w:r w:rsidR="006B18D6" w:rsidRPr="00A355D5">
        <w:rPr>
          <w:lang w:val="cs-CZ"/>
        </w:rPr>
        <w:t xml:space="preserve"> </w:t>
      </w:r>
      <w:r w:rsidR="008E7DAE" w:rsidRPr="00A355D5">
        <w:rPr>
          <w:lang w:val="cs-CZ"/>
        </w:rPr>
        <w:t>Logistické p</w:t>
      </w:r>
      <w:r w:rsidR="006B18D6" w:rsidRPr="00A355D5">
        <w:rPr>
          <w:lang w:val="cs-CZ"/>
        </w:rPr>
        <w:t xml:space="preserve">ortfolio dohromady </w:t>
      </w:r>
      <w:r w:rsidR="00404771">
        <w:rPr>
          <w:lang w:val="cs-CZ"/>
        </w:rPr>
        <w:t>zahrnuje</w:t>
      </w:r>
      <w:r w:rsidR="006B18D6" w:rsidRPr="00A355D5">
        <w:rPr>
          <w:lang w:val="cs-CZ"/>
        </w:rPr>
        <w:t xml:space="preserve"> 140 000 m</w:t>
      </w:r>
      <w:r w:rsidR="006B18D6" w:rsidRPr="00A355D5">
        <w:rPr>
          <w:vertAlign w:val="superscript"/>
          <w:lang w:val="cs-CZ"/>
        </w:rPr>
        <w:t xml:space="preserve">2 </w:t>
      </w:r>
      <w:r w:rsidR="006B18D6" w:rsidRPr="00A355D5">
        <w:rPr>
          <w:lang w:val="cs-CZ"/>
        </w:rPr>
        <w:t>nově dokončených prémiových</w:t>
      </w:r>
      <w:r w:rsidR="006B18D6" w:rsidRPr="00A355D5">
        <w:rPr>
          <w:vertAlign w:val="superscript"/>
          <w:lang w:val="cs-CZ"/>
        </w:rPr>
        <w:t xml:space="preserve"> </w:t>
      </w:r>
      <w:r w:rsidR="006B18D6" w:rsidRPr="00A355D5">
        <w:rPr>
          <w:lang w:val="cs-CZ"/>
        </w:rPr>
        <w:t>ploch</w:t>
      </w:r>
      <w:r w:rsidR="00A2592E" w:rsidRPr="00A355D5">
        <w:rPr>
          <w:lang w:val="cs-CZ"/>
        </w:rPr>
        <w:t xml:space="preserve"> a</w:t>
      </w:r>
      <w:r w:rsidR="00E43DD6" w:rsidRPr="00A355D5">
        <w:rPr>
          <w:lang w:val="cs-CZ"/>
        </w:rPr>
        <w:t> </w:t>
      </w:r>
      <w:r w:rsidR="00A2592E" w:rsidRPr="00A355D5">
        <w:rPr>
          <w:lang w:val="cs-CZ"/>
        </w:rPr>
        <w:t>h</w:t>
      </w:r>
      <w:r w:rsidR="00027BFC" w:rsidRPr="00A355D5">
        <w:rPr>
          <w:lang w:val="cs-CZ"/>
        </w:rPr>
        <w:t xml:space="preserve">odnota uskutečněné transakce dosáhla </w:t>
      </w:r>
      <w:r w:rsidR="006B18D6" w:rsidRPr="00A355D5">
        <w:rPr>
          <w:lang w:val="cs-CZ"/>
        </w:rPr>
        <w:t xml:space="preserve">cca 150 milionů eur. Novým vlastníkem </w:t>
      </w:r>
      <w:r w:rsidR="00027BFC" w:rsidRPr="00A355D5">
        <w:rPr>
          <w:lang w:val="cs-CZ"/>
        </w:rPr>
        <w:t xml:space="preserve">nemovitostí </w:t>
      </w:r>
      <w:r w:rsidR="006B18D6" w:rsidRPr="00A355D5">
        <w:rPr>
          <w:lang w:val="cs-CZ"/>
        </w:rPr>
        <w:t xml:space="preserve">se stala společnost EQT </w:t>
      </w:r>
      <w:proofErr w:type="spellStart"/>
      <w:r w:rsidR="006B18D6" w:rsidRPr="00A355D5">
        <w:rPr>
          <w:lang w:val="cs-CZ"/>
        </w:rPr>
        <w:t>Exeter</w:t>
      </w:r>
      <w:proofErr w:type="spellEnd"/>
      <w:r w:rsidR="00404771">
        <w:rPr>
          <w:lang w:val="cs-CZ"/>
        </w:rPr>
        <w:t>, pro kterou se jedná o jasné potvrzení jejich si</w:t>
      </w:r>
      <w:r w:rsidR="00404771" w:rsidRPr="00404771">
        <w:rPr>
          <w:lang w:val="cs-CZ"/>
        </w:rPr>
        <w:t>lné</w:t>
      </w:r>
      <w:r w:rsidR="00404771">
        <w:rPr>
          <w:lang w:val="cs-CZ"/>
        </w:rPr>
        <w:t>ho</w:t>
      </w:r>
      <w:r w:rsidR="00404771" w:rsidRPr="00404771">
        <w:rPr>
          <w:lang w:val="cs-CZ"/>
        </w:rPr>
        <w:t xml:space="preserve"> závazku vůči</w:t>
      </w:r>
      <w:r w:rsidR="00404771">
        <w:rPr>
          <w:lang w:val="cs-CZ"/>
        </w:rPr>
        <w:t> </w:t>
      </w:r>
      <w:r w:rsidR="00404771" w:rsidRPr="00404771">
        <w:rPr>
          <w:lang w:val="cs-CZ"/>
        </w:rPr>
        <w:t>českému trhu</w:t>
      </w:r>
      <w:r w:rsidR="00404771">
        <w:rPr>
          <w:lang w:val="cs-CZ"/>
        </w:rPr>
        <w:t xml:space="preserve">. </w:t>
      </w:r>
    </w:p>
    <w:p w14:paraId="3D0F6EFB" w14:textId="77777777" w:rsidR="00404771" w:rsidRPr="00A355D5" w:rsidRDefault="00404771" w:rsidP="00DB7F4A">
      <w:pPr>
        <w:pStyle w:val="BodyCopy"/>
        <w:rPr>
          <w:lang w:val="cs-CZ"/>
        </w:rPr>
      </w:pPr>
    </w:p>
    <w:p w14:paraId="55F89131" w14:textId="3F8382AF" w:rsidR="00027BFC" w:rsidRPr="00A355D5" w:rsidRDefault="00027BFC" w:rsidP="00DB7F4A">
      <w:pPr>
        <w:pStyle w:val="BodyCopy"/>
        <w:rPr>
          <w:lang w:val="cs-CZ"/>
        </w:rPr>
      </w:pPr>
      <w:r w:rsidRPr="00A355D5">
        <w:rPr>
          <w:i/>
          <w:lang w:val="cs-CZ"/>
        </w:rPr>
        <w:t>„</w:t>
      </w:r>
      <w:r w:rsidR="0082774B" w:rsidRPr="00A355D5">
        <w:rPr>
          <w:i/>
          <w:lang w:val="cs-CZ"/>
        </w:rPr>
        <w:t xml:space="preserve">V letošním roce jsme zaznamenali </w:t>
      </w:r>
      <w:r w:rsidRPr="00A355D5">
        <w:rPr>
          <w:i/>
          <w:lang w:val="cs-CZ"/>
        </w:rPr>
        <w:t>nebývalý zájem investorů o kvalitní průmyslové a logistické nemovitosti v</w:t>
      </w:r>
      <w:r w:rsidR="0082774B" w:rsidRPr="00A355D5">
        <w:rPr>
          <w:i/>
          <w:lang w:val="cs-CZ"/>
        </w:rPr>
        <w:t xml:space="preserve"> atraktivních lokalitách </w:t>
      </w:r>
      <w:r w:rsidRPr="00A355D5">
        <w:rPr>
          <w:i/>
          <w:lang w:val="cs-CZ"/>
        </w:rPr>
        <w:t xml:space="preserve">se silnými nájemními smlouvami. Tato transakce nebyla výjimkou. Poptávka je </w:t>
      </w:r>
      <w:r w:rsidR="00A2592E" w:rsidRPr="00A355D5">
        <w:rPr>
          <w:i/>
          <w:lang w:val="cs-CZ"/>
        </w:rPr>
        <w:t>motivována</w:t>
      </w:r>
      <w:r w:rsidRPr="00A355D5">
        <w:rPr>
          <w:i/>
          <w:lang w:val="cs-CZ"/>
        </w:rPr>
        <w:t xml:space="preserve"> </w:t>
      </w:r>
      <w:r w:rsidR="0082774B" w:rsidRPr="00A355D5">
        <w:rPr>
          <w:i/>
          <w:lang w:val="cs-CZ"/>
        </w:rPr>
        <w:t xml:space="preserve">velkým zájmem investorů prakticky </w:t>
      </w:r>
      <w:r w:rsidRPr="00A355D5">
        <w:rPr>
          <w:i/>
          <w:lang w:val="cs-CZ"/>
        </w:rPr>
        <w:t>ve všech regionech, bezpreceden</w:t>
      </w:r>
      <w:r w:rsidR="0082774B" w:rsidRPr="00A355D5">
        <w:rPr>
          <w:i/>
          <w:lang w:val="cs-CZ"/>
        </w:rPr>
        <w:t xml:space="preserve">tně nízkou mírou neobsazenosti (aktuálně </w:t>
      </w:r>
      <w:r w:rsidRPr="00A355D5">
        <w:rPr>
          <w:i/>
          <w:lang w:val="cs-CZ"/>
        </w:rPr>
        <w:t>pod 2,5 %</w:t>
      </w:r>
      <w:r w:rsidR="0082774B" w:rsidRPr="00A355D5">
        <w:rPr>
          <w:i/>
          <w:lang w:val="cs-CZ"/>
        </w:rPr>
        <w:t>)</w:t>
      </w:r>
      <w:r w:rsidRPr="00A355D5">
        <w:rPr>
          <w:i/>
          <w:lang w:val="cs-CZ"/>
        </w:rPr>
        <w:t xml:space="preserve">, </w:t>
      </w:r>
      <w:r w:rsidR="0082774B" w:rsidRPr="00A355D5">
        <w:rPr>
          <w:i/>
          <w:lang w:val="cs-CZ"/>
        </w:rPr>
        <w:t>rekordním</w:t>
      </w:r>
      <w:r w:rsidRPr="00A355D5">
        <w:rPr>
          <w:i/>
          <w:lang w:val="cs-CZ"/>
        </w:rPr>
        <w:t xml:space="preserve"> růstem nájemného a velmi </w:t>
      </w:r>
      <w:r w:rsidR="0082774B" w:rsidRPr="00A355D5">
        <w:rPr>
          <w:i/>
          <w:lang w:val="cs-CZ"/>
        </w:rPr>
        <w:t>dobrými</w:t>
      </w:r>
      <w:r w:rsidRPr="00A355D5">
        <w:rPr>
          <w:i/>
          <w:lang w:val="cs-CZ"/>
        </w:rPr>
        <w:t xml:space="preserve"> vyhlídkami do</w:t>
      </w:r>
      <w:r w:rsidR="00E43DD6" w:rsidRPr="00A355D5">
        <w:rPr>
          <w:i/>
          <w:lang w:val="cs-CZ"/>
        </w:rPr>
        <w:t> </w:t>
      </w:r>
      <w:r w:rsidRPr="00A355D5">
        <w:rPr>
          <w:i/>
          <w:lang w:val="cs-CZ"/>
        </w:rPr>
        <w:t>budoucna</w:t>
      </w:r>
      <w:r w:rsidR="00DA3349" w:rsidRPr="00A355D5">
        <w:rPr>
          <w:i/>
          <w:lang w:val="cs-CZ"/>
        </w:rPr>
        <w:t xml:space="preserve">, které </w:t>
      </w:r>
      <w:r w:rsidRPr="00A355D5">
        <w:rPr>
          <w:i/>
          <w:lang w:val="cs-CZ"/>
        </w:rPr>
        <w:t xml:space="preserve">jsou poháněny růstem </w:t>
      </w:r>
      <w:r w:rsidR="0082774B" w:rsidRPr="00A355D5">
        <w:rPr>
          <w:i/>
          <w:lang w:val="cs-CZ"/>
        </w:rPr>
        <w:t>online nakupování</w:t>
      </w:r>
      <w:r w:rsidRPr="00A355D5">
        <w:rPr>
          <w:i/>
          <w:lang w:val="cs-CZ"/>
        </w:rPr>
        <w:t xml:space="preserve"> a měnícími se potřebami v</w:t>
      </w:r>
      <w:r w:rsidR="0082774B" w:rsidRPr="00A355D5">
        <w:rPr>
          <w:i/>
          <w:lang w:val="cs-CZ"/>
        </w:rPr>
        <w:t xml:space="preserve"> rámci </w:t>
      </w:r>
      <w:r w:rsidRPr="00A355D5">
        <w:rPr>
          <w:i/>
          <w:lang w:val="cs-CZ"/>
        </w:rPr>
        <w:t xml:space="preserve">dodavatelského řetězce. Trh </w:t>
      </w:r>
      <w:r w:rsidR="007176C8" w:rsidRPr="00A355D5">
        <w:rPr>
          <w:i/>
          <w:lang w:val="cs-CZ"/>
        </w:rPr>
        <w:t xml:space="preserve">logistických a industriálních nemovitostí v tuzemsku každým rokem vzroste o přibližně </w:t>
      </w:r>
      <w:r w:rsidRPr="00A355D5">
        <w:rPr>
          <w:i/>
          <w:lang w:val="cs-CZ"/>
        </w:rPr>
        <w:t>10</w:t>
      </w:r>
      <w:r w:rsidR="007176C8" w:rsidRPr="00A355D5">
        <w:rPr>
          <w:i/>
          <w:lang w:val="cs-CZ"/>
        </w:rPr>
        <w:t xml:space="preserve"> </w:t>
      </w:r>
      <w:r w:rsidRPr="00A355D5">
        <w:rPr>
          <w:i/>
          <w:lang w:val="cs-CZ"/>
        </w:rPr>
        <w:t>%</w:t>
      </w:r>
      <w:r w:rsidR="00C64662" w:rsidRPr="00A355D5">
        <w:rPr>
          <w:i/>
          <w:lang w:val="cs-CZ"/>
        </w:rPr>
        <w:t xml:space="preserve"> a </w:t>
      </w:r>
      <w:r w:rsidRPr="00A355D5">
        <w:rPr>
          <w:i/>
          <w:lang w:val="cs-CZ"/>
        </w:rPr>
        <w:t xml:space="preserve">za posledních 10 let se </w:t>
      </w:r>
      <w:r w:rsidR="007176C8" w:rsidRPr="00A355D5">
        <w:rPr>
          <w:i/>
          <w:lang w:val="cs-CZ"/>
        </w:rPr>
        <w:t>jeho velikost více než zdvojnásobil</w:t>
      </w:r>
      <w:r w:rsidR="00715225">
        <w:rPr>
          <w:i/>
          <w:lang w:val="cs-CZ"/>
        </w:rPr>
        <w:t>a</w:t>
      </w:r>
      <w:r w:rsidR="00C64662" w:rsidRPr="00A355D5">
        <w:rPr>
          <w:i/>
          <w:lang w:val="cs-CZ"/>
        </w:rPr>
        <w:t>. V</w:t>
      </w:r>
      <w:r w:rsidR="007176C8" w:rsidRPr="00A355D5">
        <w:rPr>
          <w:i/>
          <w:lang w:val="cs-CZ"/>
        </w:rPr>
        <w:t> současnosti dosahuje</w:t>
      </w:r>
      <w:r w:rsidRPr="00A355D5">
        <w:rPr>
          <w:i/>
          <w:lang w:val="cs-CZ"/>
        </w:rPr>
        <w:t xml:space="preserve"> 9,5 milionu m</w:t>
      </w:r>
      <w:r w:rsidRPr="00A355D5">
        <w:rPr>
          <w:i/>
          <w:vertAlign w:val="superscript"/>
          <w:lang w:val="cs-CZ"/>
        </w:rPr>
        <w:t>2</w:t>
      </w:r>
      <w:r w:rsidRPr="00A355D5">
        <w:rPr>
          <w:i/>
          <w:lang w:val="cs-CZ"/>
        </w:rPr>
        <w:t xml:space="preserve">. </w:t>
      </w:r>
      <w:r w:rsidR="007176C8" w:rsidRPr="00A355D5">
        <w:rPr>
          <w:i/>
          <w:lang w:val="cs-CZ"/>
        </w:rPr>
        <w:t>I p</w:t>
      </w:r>
      <w:r w:rsidRPr="00A355D5">
        <w:rPr>
          <w:i/>
          <w:lang w:val="cs-CZ"/>
        </w:rPr>
        <w:t>řesto</w:t>
      </w:r>
      <w:r w:rsidR="007176C8" w:rsidRPr="00A355D5">
        <w:rPr>
          <w:i/>
          <w:lang w:val="cs-CZ"/>
        </w:rPr>
        <w:t xml:space="preserve"> zde poptávka převyšuje nabídku, když</w:t>
      </w:r>
      <w:r w:rsidRPr="00A355D5">
        <w:rPr>
          <w:i/>
          <w:lang w:val="cs-CZ"/>
        </w:rPr>
        <w:t xml:space="preserve"> </w:t>
      </w:r>
      <w:r w:rsidR="00A2592E" w:rsidRPr="00A355D5">
        <w:rPr>
          <w:i/>
          <w:lang w:val="cs-CZ"/>
        </w:rPr>
        <w:t xml:space="preserve">bylo </w:t>
      </w:r>
      <w:r w:rsidRPr="00A355D5">
        <w:rPr>
          <w:i/>
          <w:lang w:val="cs-CZ"/>
        </w:rPr>
        <w:t>za necelé 3 roky pronajato cca</w:t>
      </w:r>
      <w:r w:rsidR="00715225">
        <w:rPr>
          <w:i/>
          <w:lang w:val="cs-CZ"/>
        </w:rPr>
        <w:t> </w:t>
      </w:r>
      <w:r w:rsidRPr="00A355D5">
        <w:rPr>
          <w:i/>
          <w:lang w:val="cs-CZ"/>
        </w:rPr>
        <w:t>3</w:t>
      </w:r>
      <w:r w:rsidR="00715225">
        <w:rPr>
          <w:i/>
          <w:lang w:val="cs-CZ"/>
        </w:rPr>
        <w:t> </w:t>
      </w:r>
      <w:r w:rsidRPr="00A355D5">
        <w:rPr>
          <w:i/>
          <w:lang w:val="cs-CZ"/>
        </w:rPr>
        <w:t>miliony m</w:t>
      </w:r>
      <w:r w:rsidRPr="00A355D5">
        <w:rPr>
          <w:i/>
          <w:vertAlign w:val="superscript"/>
          <w:lang w:val="cs-CZ"/>
        </w:rPr>
        <w:t>2</w:t>
      </w:r>
      <w:r w:rsidRPr="00A355D5">
        <w:rPr>
          <w:i/>
          <w:lang w:val="cs-CZ"/>
        </w:rPr>
        <w:t xml:space="preserve">. </w:t>
      </w:r>
      <w:r w:rsidR="00B25140" w:rsidRPr="00A355D5">
        <w:rPr>
          <w:i/>
          <w:lang w:val="cs-CZ"/>
        </w:rPr>
        <w:t>I</w:t>
      </w:r>
      <w:r w:rsidRPr="00A355D5">
        <w:rPr>
          <w:i/>
          <w:lang w:val="cs-CZ"/>
        </w:rPr>
        <w:t xml:space="preserve"> přes prudký pokles </w:t>
      </w:r>
      <w:proofErr w:type="spellStart"/>
      <w:r w:rsidR="00B25140" w:rsidRPr="00A355D5">
        <w:rPr>
          <w:i/>
          <w:lang w:val="cs-CZ"/>
        </w:rPr>
        <w:t>yieldů</w:t>
      </w:r>
      <w:proofErr w:type="spellEnd"/>
      <w:r w:rsidRPr="00A355D5">
        <w:rPr>
          <w:i/>
          <w:lang w:val="cs-CZ"/>
        </w:rPr>
        <w:t xml:space="preserve"> </w:t>
      </w:r>
      <w:r w:rsidR="00B25140" w:rsidRPr="00A355D5">
        <w:rPr>
          <w:i/>
          <w:lang w:val="cs-CZ"/>
        </w:rPr>
        <w:t xml:space="preserve">dosahují zdejší nemovitosti </w:t>
      </w:r>
      <w:r w:rsidRPr="00A355D5">
        <w:rPr>
          <w:i/>
          <w:lang w:val="cs-CZ"/>
        </w:rPr>
        <w:t>stále atraktivní</w:t>
      </w:r>
      <w:r w:rsidR="00B25140" w:rsidRPr="00A355D5">
        <w:rPr>
          <w:i/>
          <w:lang w:val="cs-CZ"/>
        </w:rPr>
        <w:t xml:space="preserve">ch </w:t>
      </w:r>
      <w:r w:rsidR="003A0E82" w:rsidRPr="00A355D5">
        <w:rPr>
          <w:i/>
          <w:lang w:val="cs-CZ"/>
        </w:rPr>
        <w:t>výnos</w:t>
      </w:r>
      <w:r w:rsidR="00B25140" w:rsidRPr="00A355D5">
        <w:rPr>
          <w:i/>
          <w:lang w:val="cs-CZ"/>
        </w:rPr>
        <w:t>ů</w:t>
      </w:r>
      <w:r w:rsidR="00C64662" w:rsidRPr="00A355D5">
        <w:rPr>
          <w:i/>
          <w:lang w:val="cs-CZ"/>
        </w:rPr>
        <w:t xml:space="preserve"> v evropském kontextu</w:t>
      </w:r>
      <w:r w:rsidR="00B25140" w:rsidRPr="00A355D5">
        <w:rPr>
          <w:i/>
          <w:lang w:val="cs-CZ"/>
        </w:rPr>
        <w:t>: aktuálně činí</w:t>
      </w:r>
      <w:r w:rsidRPr="00A355D5">
        <w:rPr>
          <w:i/>
          <w:lang w:val="cs-CZ"/>
        </w:rPr>
        <w:t xml:space="preserve"> 4,25 %, což je o 95 % více než v sousedním Německu. Jsme </w:t>
      </w:r>
      <w:r w:rsidR="00C64662" w:rsidRPr="00A355D5">
        <w:rPr>
          <w:i/>
          <w:lang w:val="cs-CZ"/>
        </w:rPr>
        <w:t>rádi</w:t>
      </w:r>
      <w:r w:rsidR="003A0E82" w:rsidRPr="00A355D5">
        <w:rPr>
          <w:i/>
          <w:lang w:val="cs-CZ"/>
        </w:rPr>
        <w:t xml:space="preserve">, </w:t>
      </w:r>
      <w:r w:rsidRPr="00A355D5">
        <w:rPr>
          <w:i/>
          <w:lang w:val="cs-CZ"/>
        </w:rPr>
        <w:t>že</w:t>
      </w:r>
      <w:r w:rsidR="00715225">
        <w:rPr>
          <w:i/>
          <w:lang w:val="cs-CZ"/>
        </w:rPr>
        <w:t> </w:t>
      </w:r>
      <w:r w:rsidRPr="00A355D5">
        <w:rPr>
          <w:i/>
          <w:lang w:val="cs-CZ"/>
        </w:rPr>
        <w:t xml:space="preserve">se nám touto transakcí podařilo dosáhnout nového rekordního </w:t>
      </w:r>
      <w:proofErr w:type="spellStart"/>
      <w:r w:rsidR="003A0E82" w:rsidRPr="00A355D5">
        <w:rPr>
          <w:i/>
          <w:lang w:val="cs-CZ"/>
        </w:rPr>
        <w:t>yieldu</w:t>
      </w:r>
      <w:proofErr w:type="spellEnd"/>
      <w:r w:rsidRPr="00A355D5">
        <w:rPr>
          <w:i/>
          <w:lang w:val="cs-CZ"/>
        </w:rPr>
        <w:t xml:space="preserve"> pro Ostravsko,“</w:t>
      </w:r>
      <w:r w:rsidRPr="00A355D5">
        <w:rPr>
          <w:lang w:val="cs-CZ"/>
        </w:rPr>
        <w:t xml:space="preserve"> </w:t>
      </w:r>
      <w:r w:rsidR="003A0E82" w:rsidRPr="00A355D5">
        <w:rPr>
          <w:lang w:val="cs-CZ"/>
        </w:rPr>
        <w:t xml:space="preserve">uvádí </w:t>
      </w:r>
      <w:r w:rsidRPr="00A355D5">
        <w:rPr>
          <w:b/>
          <w:bCs/>
          <w:lang w:val="cs-CZ"/>
        </w:rPr>
        <w:t xml:space="preserve">Katarína </w:t>
      </w:r>
      <w:proofErr w:type="spellStart"/>
      <w:r w:rsidRPr="00A355D5">
        <w:rPr>
          <w:b/>
          <w:bCs/>
          <w:lang w:val="cs-CZ"/>
        </w:rPr>
        <w:t>Brydone</w:t>
      </w:r>
      <w:proofErr w:type="spellEnd"/>
      <w:r w:rsidRPr="00A355D5">
        <w:rPr>
          <w:b/>
          <w:bCs/>
          <w:lang w:val="cs-CZ"/>
        </w:rPr>
        <w:t>, vedoucí oddělení investic v CBRE</w:t>
      </w:r>
      <w:r w:rsidRPr="00A355D5">
        <w:rPr>
          <w:lang w:val="cs-CZ"/>
        </w:rPr>
        <w:t xml:space="preserve">, jejíž tým letos uzavřel 12 transakcí v celkové hodnotě dosahující 450 milionů </w:t>
      </w:r>
      <w:r w:rsidR="003A0E82" w:rsidRPr="00A355D5">
        <w:rPr>
          <w:lang w:val="cs-CZ"/>
        </w:rPr>
        <w:t>eur</w:t>
      </w:r>
      <w:r w:rsidRPr="00A355D5">
        <w:rPr>
          <w:lang w:val="cs-CZ"/>
        </w:rPr>
        <w:t>.</w:t>
      </w:r>
    </w:p>
    <w:p w14:paraId="172EEFDB" w14:textId="77777777" w:rsidR="007C55CE" w:rsidRPr="00A355D5" w:rsidRDefault="007C55CE" w:rsidP="00DB7F4A">
      <w:pPr>
        <w:pStyle w:val="BodyCopy"/>
        <w:rPr>
          <w:lang w:val="cs-CZ"/>
        </w:rPr>
      </w:pPr>
    </w:p>
    <w:p w14:paraId="35A09725" w14:textId="17975F5B" w:rsidR="0021614D" w:rsidRPr="00A355D5" w:rsidRDefault="007C55CE" w:rsidP="007C55CE">
      <w:pPr>
        <w:pStyle w:val="BodyCopy"/>
        <w:rPr>
          <w:lang w:val="cs-CZ"/>
        </w:rPr>
      </w:pPr>
      <w:r w:rsidRPr="00A355D5">
        <w:rPr>
          <w:lang w:val="cs-CZ"/>
        </w:rPr>
        <w:t xml:space="preserve">Rekordní </w:t>
      </w:r>
      <w:r w:rsidR="00E43DD6" w:rsidRPr="00A355D5">
        <w:rPr>
          <w:lang w:val="cs-CZ"/>
        </w:rPr>
        <w:t xml:space="preserve">logistická </w:t>
      </w:r>
      <w:r w:rsidR="003A0E82" w:rsidRPr="00A355D5">
        <w:rPr>
          <w:lang w:val="cs-CZ"/>
        </w:rPr>
        <w:t>transakce</w:t>
      </w:r>
      <w:r w:rsidRPr="00A355D5">
        <w:rPr>
          <w:lang w:val="cs-CZ"/>
        </w:rPr>
        <w:t xml:space="preserve"> letošního roku zahrnovala tři nově dokončené </w:t>
      </w:r>
      <w:r w:rsidR="003A0E82" w:rsidRPr="00A355D5">
        <w:rPr>
          <w:lang w:val="cs-CZ"/>
        </w:rPr>
        <w:t xml:space="preserve">prémiové </w:t>
      </w:r>
      <w:r w:rsidRPr="00A355D5">
        <w:rPr>
          <w:lang w:val="cs-CZ"/>
        </w:rPr>
        <w:t xml:space="preserve">haly v areálu </w:t>
      </w:r>
      <w:proofErr w:type="spellStart"/>
      <w:r w:rsidRPr="00A355D5">
        <w:rPr>
          <w:lang w:val="cs-CZ"/>
        </w:rPr>
        <w:t>Logistics</w:t>
      </w:r>
      <w:proofErr w:type="spellEnd"/>
      <w:r w:rsidRPr="00A355D5">
        <w:rPr>
          <w:lang w:val="cs-CZ"/>
        </w:rPr>
        <w:t xml:space="preserve"> Park Nošovice s</w:t>
      </w:r>
      <w:r w:rsidR="003A0E82" w:rsidRPr="00A355D5">
        <w:rPr>
          <w:lang w:val="cs-CZ"/>
        </w:rPr>
        <w:t xml:space="preserve"> hrubou </w:t>
      </w:r>
      <w:r w:rsidRPr="00555E73">
        <w:rPr>
          <w:lang w:val="cs-CZ"/>
        </w:rPr>
        <w:t>pronajímatelnou plochou 64 000 m</w:t>
      </w:r>
      <w:r w:rsidRPr="00555E73">
        <w:rPr>
          <w:vertAlign w:val="superscript"/>
          <w:lang w:val="cs-CZ"/>
        </w:rPr>
        <w:t>2</w:t>
      </w:r>
      <w:r w:rsidRPr="00555E73">
        <w:rPr>
          <w:lang w:val="cs-CZ"/>
        </w:rPr>
        <w:t>. Jejich výhradním a</w:t>
      </w:r>
      <w:r w:rsidR="00E43DD6" w:rsidRPr="00555E73">
        <w:rPr>
          <w:lang w:val="cs-CZ"/>
        </w:rPr>
        <w:t> </w:t>
      </w:r>
      <w:r w:rsidRPr="00555E73">
        <w:rPr>
          <w:lang w:val="cs-CZ"/>
        </w:rPr>
        <w:t xml:space="preserve">dlouhodobým nájemcem je firma Hyundai </w:t>
      </w:r>
      <w:proofErr w:type="spellStart"/>
      <w:r w:rsidRPr="00555E73">
        <w:rPr>
          <w:lang w:val="cs-CZ"/>
        </w:rPr>
        <w:t>Glovis</w:t>
      </w:r>
      <w:proofErr w:type="spellEnd"/>
      <w:r w:rsidRPr="00555E73">
        <w:rPr>
          <w:lang w:val="cs-CZ"/>
        </w:rPr>
        <w:t xml:space="preserve">, která zajišťuje logistické služby pro výrobní závod </w:t>
      </w:r>
      <w:r w:rsidR="003A0E82" w:rsidRPr="00555E73">
        <w:rPr>
          <w:lang w:val="cs-CZ"/>
        </w:rPr>
        <w:t xml:space="preserve">nedaleké </w:t>
      </w:r>
      <w:r w:rsidRPr="00555E73">
        <w:rPr>
          <w:lang w:val="cs-CZ"/>
        </w:rPr>
        <w:t>automobilky Hyundai Motor</w:t>
      </w:r>
      <w:r w:rsidR="003A0E82" w:rsidRPr="00555E73">
        <w:rPr>
          <w:lang w:val="cs-CZ"/>
        </w:rPr>
        <w:t xml:space="preserve">, která vyrábí populární vůz </w:t>
      </w:r>
      <w:proofErr w:type="spellStart"/>
      <w:r w:rsidR="003A0E82" w:rsidRPr="00555E73">
        <w:rPr>
          <w:lang w:val="cs-CZ"/>
        </w:rPr>
        <w:t>Tucson</w:t>
      </w:r>
      <w:proofErr w:type="spellEnd"/>
      <w:r w:rsidR="003A0E82" w:rsidRPr="00555E73">
        <w:rPr>
          <w:lang w:val="cs-CZ"/>
        </w:rPr>
        <w:t xml:space="preserve"> či elektrický automobil </w:t>
      </w:r>
      <w:proofErr w:type="spellStart"/>
      <w:r w:rsidR="003A0E82" w:rsidRPr="00555E73">
        <w:rPr>
          <w:lang w:val="cs-CZ"/>
        </w:rPr>
        <w:t>Kona</w:t>
      </w:r>
      <w:proofErr w:type="spellEnd"/>
      <w:r w:rsidR="003A0E82" w:rsidRPr="00555E73">
        <w:rPr>
          <w:lang w:val="cs-CZ"/>
        </w:rPr>
        <w:t xml:space="preserve"> Electric. </w:t>
      </w:r>
      <w:r w:rsidRPr="00555E73">
        <w:rPr>
          <w:lang w:val="cs-CZ"/>
        </w:rPr>
        <w:t xml:space="preserve">A dále dvou </w:t>
      </w:r>
      <w:r w:rsidR="003A0E82" w:rsidRPr="00555E73">
        <w:rPr>
          <w:lang w:val="cs-CZ"/>
        </w:rPr>
        <w:t xml:space="preserve">moderních </w:t>
      </w:r>
      <w:r w:rsidRPr="00555E73">
        <w:rPr>
          <w:lang w:val="cs-CZ"/>
        </w:rPr>
        <w:t>hal o celkové ploše 77 000 m</w:t>
      </w:r>
      <w:r w:rsidRPr="00555E73">
        <w:rPr>
          <w:vertAlign w:val="superscript"/>
          <w:lang w:val="cs-CZ"/>
        </w:rPr>
        <w:t xml:space="preserve">2 </w:t>
      </w:r>
      <w:r w:rsidRPr="00555E73">
        <w:rPr>
          <w:lang w:val="cs-CZ"/>
        </w:rPr>
        <w:t xml:space="preserve">v </w:t>
      </w:r>
      <w:r w:rsidR="00502ED9" w:rsidRPr="00555E73">
        <w:rPr>
          <w:lang w:val="cs-CZ"/>
        </w:rPr>
        <w:t>OSTRAVA AIRPORT MULTIMODAL v Mošnově</w:t>
      </w:r>
      <w:r w:rsidR="003A0E82" w:rsidRPr="00555E73">
        <w:rPr>
          <w:lang w:val="cs-CZ"/>
        </w:rPr>
        <w:t xml:space="preserve">. </w:t>
      </w:r>
      <w:r w:rsidRPr="00555E73">
        <w:rPr>
          <w:lang w:val="cs-CZ"/>
        </w:rPr>
        <w:t xml:space="preserve">Obě nemovitosti jsou plně pronajaty, přičemž mezi nájemce patří </w:t>
      </w:r>
      <w:r w:rsidR="00425E49" w:rsidRPr="00555E73">
        <w:rPr>
          <w:lang w:val="cs-CZ"/>
        </w:rPr>
        <w:t xml:space="preserve">například společnosti </w:t>
      </w:r>
      <w:r w:rsidR="00502ED9" w:rsidRPr="00555E73">
        <w:rPr>
          <w:lang w:val="cs-CZ"/>
        </w:rPr>
        <w:t xml:space="preserve">Continental Barum, </w:t>
      </w:r>
      <w:r w:rsidR="00425E49" w:rsidRPr="00555E73">
        <w:rPr>
          <w:lang w:val="cs-CZ"/>
        </w:rPr>
        <w:t xml:space="preserve">DHL, </w:t>
      </w:r>
      <w:r w:rsidR="00502ED9" w:rsidRPr="00555E73">
        <w:rPr>
          <w:lang w:val="cs-CZ"/>
        </w:rPr>
        <w:t xml:space="preserve">Hyundai </w:t>
      </w:r>
      <w:proofErr w:type="spellStart"/>
      <w:r w:rsidR="00502ED9" w:rsidRPr="00555E73">
        <w:rPr>
          <w:lang w:val="cs-CZ"/>
        </w:rPr>
        <w:t>Glovis</w:t>
      </w:r>
      <w:proofErr w:type="spellEnd"/>
      <w:r w:rsidR="00502ED9" w:rsidRPr="00555E73">
        <w:rPr>
          <w:lang w:val="cs-CZ"/>
        </w:rPr>
        <w:t xml:space="preserve">, </w:t>
      </w:r>
      <w:proofErr w:type="gramStart"/>
      <w:r w:rsidR="00502ED9" w:rsidRPr="00555E73">
        <w:rPr>
          <w:lang w:val="cs-CZ"/>
        </w:rPr>
        <w:t>M</w:t>
      </w:r>
      <w:r w:rsidR="00502ED9" w:rsidRPr="00A355D5">
        <w:rPr>
          <w:lang w:val="cs-CZ"/>
        </w:rPr>
        <w:t>.K.</w:t>
      </w:r>
      <w:proofErr w:type="gramEnd"/>
      <w:r w:rsidR="00502ED9" w:rsidRPr="00A355D5">
        <w:rPr>
          <w:lang w:val="cs-CZ"/>
        </w:rPr>
        <w:t xml:space="preserve"> Invest, </w:t>
      </w:r>
      <w:proofErr w:type="spellStart"/>
      <w:r w:rsidR="00425E49" w:rsidRPr="00A355D5">
        <w:rPr>
          <w:lang w:val="cs-CZ"/>
        </w:rPr>
        <w:t>Rhenus</w:t>
      </w:r>
      <w:proofErr w:type="spellEnd"/>
      <w:r w:rsidR="00425E49" w:rsidRPr="00A355D5">
        <w:rPr>
          <w:lang w:val="cs-CZ"/>
        </w:rPr>
        <w:t xml:space="preserve"> </w:t>
      </w:r>
      <w:proofErr w:type="spellStart"/>
      <w:r w:rsidR="00425E49" w:rsidRPr="00A355D5">
        <w:rPr>
          <w:lang w:val="cs-CZ"/>
        </w:rPr>
        <w:t>Logistics</w:t>
      </w:r>
      <w:proofErr w:type="spellEnd"/>
      <w:r w:rsidR="00425E49" w:rsidRPr="00A355D5">
        <w:rPr>
          <w:lang w:val="cs-CZ"/>
        </w:rPr>
        <w:t xml:space="preserve">, </w:t>
      </w:r>
      <w:proofErr w:type="spellStart"/>
      <w:r w:rsidR="00425E49" w:rsidRPr="00A355D5">
        <w:rPr>
          <w:lang w:val="cs-CZ"/>
        </w:rPr>
        <w:t>Skladon</w:t>
      </w:r>
      <w:proofErr w:type="spellEnd"/>
      <w:r w:rsidR="00425E49" w:rsidRPr="00A355D5">
        <w:rPr>
          <w:lang w:val="cs-CZ"/>
        </w:rPr>
        <w:t xml:space="preserve"> </w:t>
      </w:r>
      <w:r w:rsidR="00715225">
        <w:rPr>
          <w:lang w:val="cs-CZ"/>
        </w:rPr>
        <w:t xml:space="preserve">a UFI </w:t>
      </w:r>
      <w:proofErr w:type="spellStart"/>
      <w:r w:rsidR="00715225">
        <w:rPr>
          <w:lang w:val="cs-CZ"/>
        </w:rPr>
        <w:t>Filters</w:t>
      </w:r>
      <w:proofErr w:type="spellEnd"/>
      <w:r w:rsidR="00715225">
        <w:rPr>
          <w:lang w:val="cs-CZ"/>
        </w:rPr>
        <w:t xml:space="preserve">. </w:t>
      </w:r>
      <w:r w:rsidR="0021614D" w:rsidRPr="00A355D5">
        <w:rPr>
          <w:rStyle w:val="jlqj4b"/>
          <w:lang w:val="cs-CZ"/>
        </w:rPr>
        <w:t>Park těží ze své strategické polohy přímo u Mezinárodního letiště Leoše Janáčka Ostrava v průmyslové zóně Mošnov s přímým napojením na dálnici a železnici.</w:t>
      </w:r>
      <w:r w:rsidR="0021614D" w:rsidRPr="00A355D5">
        <w:rPr>
          <w:rStyle w:val="viiyi"/>
          <w:lang w:val="cs-CZ"/>
        </w:rPr>
        <w:t xml:space="preserve"> Součástí areálu je terminál kombinované dopravy se strategickým umístěním na plánované "Nové</w:t>
      </w:r>
      <w:r w:rsidR="00502ED9" w:rsidRPr="00A355D5">
        <w:rPr>
          <w:rStyle w:val="viiyi"/>
          <w:lang w:val="cs-CZ"/>
        </w:rPr>
        <w:t> </w:t>
      </w:r>
      <w:r w:rsidR="0021614D" w:rsidRPr="00A355D5">
        <w:rPr>
          <w:rStyle w:val="viiyi"/>
          <w:lang w:val="cs-CZ"/>
        </w:rPr>
        <w:t>hedvábné</w:t>
      </w:r>
      <w:r w:rsidR="00C64662" w:rsidRPr="00A355D5">
        <w:rPr>
          <w:rStyle w:val="viiyi"/>
          <w:lang w:val="cs-CZ"/>
        </w:rPr>
        <w:t xml:space="preserve"> </w:t>
      </w:r>
      <w:r w:rsidR="0021614D" w:rsidRPr="00A355D5">
        <w:rPr>
          <w:rStyle w:val="viiyi"/>
          <w:lang w:val="cs-CZ"/>
        </w:rPr>
        <w:t>stezce", který</w:t>
      </w:r>
      <w:r w:rsidR="00715225">
        <w:rPr>
          <w:rStyle w:val="viiyi"/>
          <w:lang w:val="cs-CZ"/>
        </w:rPr>
        <w:t> </w:t>
      </w:r>
      <w:r w:rsidR="0021614D" w:rsidRPr="00A355D5">
        <w:rPr>
          <w:rStyle w:val="viiyi"/>
          <w:lang w:val="cs-CZ"/>
        </w:rPr>
        <w:t>je ve středoevropském měřítku unikátní svou velikostí a maximální kapacitou překládky.</w:t>
      </w:r>
    </w:p>
    <w:p w14:paraId="24AC1512" w14:textId="77777777" w:rsidR="00DB7F4A" w:rsidRDefault="00DB7F4A" w:rsidP="00DB7F4A">
      <w:pPr>
        <w:pStyle w:val="BodyCopy"/>
        <w:rPr>
          <w:lang w:val="cs-CZ"/>
        </w:rPr>
      </w:pPr>
    </w:p>
    <w:p w14:paraId="2286990B" w14:textId="0E0A8E5B" w:rsidR="00794597" w:rsidRDefault="00794597" w:rsidP="00794597">
      <w:pPr>
        <w:rPr>
          <w:color w:val="425254" w:themeColor="text1"/>
          <w:lang w:val="cs-CZ"/>
        </w:rPr>
      </w:pPr>
      <w:r w:rsidRPr="00794597">
        <w:rPr>
          <w:i/>
          <w:color w:val="425254" w:themeColor="text1"/>
          <w:lang w:val="cs-CZ"/>
        </w:rPr>
        <w:t>„Těší mě, že tato transakce ukazuje, jak J&amp;T společně s CONCENS INVESTMENTS neváhají vstoupit do méně etablovaných lokalit</w:t>
      </w:r>
      <w:r>
        <w:rPr>
          <w:i/>
          <w:color w:val="425254" w:themeColor="text1"/>
          <w:lang w:val="cs-CZ"/>
        </w:rPr>
        <w:t xml:space="preserve"> s velkým potenciálem</w:t>
      </w:r>
      <w:r w:rsidRPr="00794597">
        <w:rPr>
          <w:i/>
          <w:color w:val="425254" w:themeColor="text1"/>
          <w:lang w:val="cs-CZ"/>
        </w:rPr>
        <w:t>, dokáží přilákat renomované a finančně stabilní nájemce a umí dodat opravdu prvotřídní investiční produkty,“</w:t>
      </w:r>
      <w:r w:rsidRPr="00794597">
        <w:rPr>
          <w:color w:val="425254" w:themeColor="text1"/>
          <w:lang w:val="cs-CZ"/>
        </w:rPr>
        <w:t xml:space="preserve"> u</w:t>
      </w:r>
      <w:r>
        <w:rPr>
          <w:color w:val="425254" w:themeColor="text1"/>
          <w:lang w:val="cs-CZ"/>
        </w:rPr>
        <w:t xml:space="preserve">zavírá </w:t>
      </w:r>
      <w:r w:rsidRPr="00794597">
        <w:rPr>
          <w:b/>
          <w:color w:val="425254" w:themeColor="text1"/>
          <w:lang w:val="cs-CZ"/>
        </w:rPr>
        <w:t xml:space="preserve">Daniel Kollár, projektový manažer J&amp;T IB </w:t>
      </w:r>
      <w:proofErr w:type="spellStart"/>
      <w:r w:rsidRPr="00794597">
        <w:rPr>
          <w:b/>
          <w:color w:val="425254" w:themeColor="text1"/>
          <w:lang w:val="cs-CZ"/>
        </w:rPr>
        <w:t>Capital</w:t>
      </w:r>
      <w:proofErr w:type="spellEnd"/>
      <w:r w:rsidRPr="00794597">
        <w:rPr>
          <w:b/>
          <w:color w:val="425254" w:themeColor="text1"/>
          <w:lang w:val="cs-CZ"/>
        </w:rPr>
        <w:t xml:space="preserve"> </w:t>
      </w:r>
      <w:proofErr w:type="spellStart"/>
      <w:r w:rsidRPr="00794597">
        <w:rPr>
          <w:b/>
          <w:color w:val="425254" w:themeColor="text1"/>
          <w:lang w:val="cs-CZ"/>
        </w:rPr>
        <w:t>Markets</w:t>
      </w:r>
      <w:proofErr w:type="spellEnd"/>
      <w:r w:rsidRPr="00794597">
        <w:rPr>
          <w:color w:val="425254" w:themeColor="text1"/>
          <w:lang w:val="cs-CZ"/>
        </w:rPr>
        <w:t>.</w:t>
      </w:r>
    </w:p>
    <w:p w14:paraId="2E49528E" w14:textId="77777777" w:rsidR="00794597" w:rsidRDefault="00794597" w:rsidP="00794597">
      <w:pPr>
        <w:rPr>
          <w:color w:val="425254" w:themeColor="text1"/>
          <w:lang w:val="cs-CZ"/>
        </w:rPr>
      </w:pPr>
    </w:p>
    <w:p w14:paraId="3EDF02A7" w14:textId="2E44F86B" w:rsidR="00DB7F4A" w:rsidRPr="00A355D5" w:rsidRDefault="00794597" w:rsidP="00DB7F4A">
      <w:pPr>
        <w:pStyle w:val="Contact"/>
        <w:rPr>
          <w:lang w:val="cs-CZ"/>
        </w:rPr>
      </w:pPr>
      <w:r>
        <w:rPr>
          <w:lang w:val="cs-CZ"/>
        </w:rPr>
        <w:lastRenderedPageBreak/>
        <w:br/>
      </w:r>
      <w:r w:rsidR="00DB7F4A" w:rsidRPr="00A355D5">
        <w:rPr>
          <w:lang w:val="cs-CZ"/>
        </w:rPr>
        <w:t>Kontakty:</w:t>
      </w:r>
      <w:r w:rsidR="00DB7F4A" w:rsidRPr="00A355D5">
        <w:rPr>
          <w:lang w:val="cs-CZ"/>
        </w:rPr>
        <w:br/>
      </w:r>
      <w:proofErr w:type="spellStart"/>
      <w:r w:rsidR="00DB7F4A" w:rsidRPr="00A355D5">
        <w:rPr>
          <w:lang w:val="cs-CZ"/>
        </w:rPr>
        <w:t>Crest</w:t>
      </w:r>
      <w:proofErr w:type="spellEnd"/>
      <w:r w:rsidR="00DB7F4A" w:rsidRPr="00A355D5">
        <w:rPr>
          <w:lang w:val="cs-CZ"/>
        </w:rPr>
        <w:t xml:space="preserve"> Communications, a.s.</w:t>
      </w:r>
    </w:p>
    <w:p w14:paraId="0C75A380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180E2F62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733C79D2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T: +420 731 613 606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T: +420 731 613 609</w:t>
      </w:r>
    </w:p>
    <w:p w14:paraId="721A6878" w14:textId="77777777" w:rsidR="00DB7F4A" w:rsidRDefault="00DB7F4A" w:rsidP="00DB7F4A">
      <w:pPr>
        <w:pStyle w:val="Contact"/>
        <w:rPr>
          <w:b w:val="0"/>
          <w:bCs w:val="0"/>
        </w:rPr>
      </w:pPr>
      <w:proofErr w:type="gramStart"/>
      <w:r>
        <w:rPr>
          <w:b w:val="0"/>
          <w:bCs w:val="0"/>
        </w:rPr>
        <w:t>e-mail</w:t>
      </w:r>
      <w:proofErr w:type="gramEnd"/>
      <w:r>
        <w:rPr>
          <w:b w:val="0"/>
          <w:bCs w:val="0"/>
        </w:rPr>
        <w:t xml:space="preserve">: </w:t>
      </w:r>
      <w:hyperlink r:id="rId8" w:history="1">
        <w:r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 mail: </w:t>
      </w:r>
      <w:hyperlink r:id="rId9" w:history="1">
        <w:r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A26B51B" w14:textId="77777777" w:rsidR="00DB7F4A" w:rsidRDefault="003E4EA9" w:rsidP="00DB7F4A">
      <w:pPr>
        <w:pStyle w:val="Contact"/>
        <w:rPr>
          <w:b w:val="0"/>
          <w:bCs w:val="0"/>
        </w:rPr>
      </w:pPr>
      <w:hyperlink r:id="rId10" w:history="1">
        <w:r w:rsidR="00DB7F4A">
          <w:rPr>
            <w:rStyle w:val="Hypertextovodkaz"/>
            <w:b w:val="0"/>
            <w:bCs w:val="0"/>
          </w:rPr>
          <w:t>www.crestcom.cz</w:t>
        </w:r>
      </w:hyperlink>
    </w:p>
    <w:p w14:paraId="39FED434" w14:textId="77777777" w:rsidR="00DB7F4A" w:rsidRDefault="00DB7F4A" w:rsidP="00DB7F4A">
      <w:pPr>
        <w:pStyle w:val="Contact"/>
      </w:pPr>
    </w:p>
    <w:p w14:paraId="001FB16D" w14:textId="77777777" w:rsidR="00DB7F4A" w:rsidRDefault="00DB7F4A" w:rsidP="00DB7F4A">
      <w:pPr>
        <w:pStyle w:val="Contact"/>
      </w:pPr>
      <w:r>
        <w:t>CBRE</w:t>
      </w:r>
    </w:p>
    <w:p w14:paraId="5AE6509A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</w:t>
      </w:r>
      <w:proofErr w:type="spellStart"/>
      <w:r>
        <w:rPr>
          <w:b w:val="0"/>
          <w:bCs w:val="0"/>
        </w:rPr>
        <w:t>Mrázová</w:t>
      </w:r>
      <w:proofErr w:type="spellEnd"/>
      <w:r>
        <w:rPr>
          <w:b w:val="0"/>
          <w:bCs w:val="0"/>
        </w:rPr>
        <w:t xml:space="preserve">, Senior Communication Specialist, +420 604 308 765, </w:t>
      </w:r>
      <w:hyperlink r:id="rId11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50AF1204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proofErr w:type="spellStart"/>
      <w:r>
        <w:rPr>
          <w:b w:val="0"/>
          <w:bCs w:val="0"/>
        </w:rPr>
        <w:t>Česká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2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B94A16">
        <w:rPr>
          <w:rStyle w:val="normaltextrun"/>
          <w:b w:val="0"/>
          <w:bCs w:val="0"/>
          <w:color w:val="7FBBAD" w:themeColor="background2"/>
          <w:u w:val="single"/>
        </w:rPr>
        <w:fldChar w:fldCharType="begin"/>
      </w:r>
      <w:r w:rsidR="00B94A16">
        <w:rPr>
          <w:rStyle w:val="normaltextrun"/>
          <w:b w:val="0"/>
          <w:bCs w:val="0"/>
          <w:color w:val="7FBBAD" w:themeColor="background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B94A16">
        <w:rPr>
          <w:rStyle w:val="normaltextrun"/>
          <w:b w:val="0"/>
          <w:bCs w:val="0"/>
          <w:color w:val="7FBBAD" w:themeColor="background2"/>
          <w:u w:val="single"/>
        </w:rPr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B94A16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3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7530528" w14:textId="77777777" w:rsidR="00DB7F4A" w:rsidRPr="00E02087" w:rsidRDefault="00DB7F4A" w:rsidP="00DB7F4A">
      <w:pPr>
        <w:pStyle w:val="BodyCopy"/>
      </w:pPr>
    </w:p>
    <w:p w14:paraId="76F9CA56" w14:textId="77777777" w:rsidR="00DB7F4A" w:rsidRDefault="00DB7F4A" w:rsidP="00DB7F4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67D43A47" w14:textId="77777777" w:rsidR="00DB7F4A" w:rsidRDefault="00DB7F4A" w:rsidP="00DB7F4A">
      <w:pPr>
        <w:pStyle w:val="Boilerplate"/>
        <w:jc w:val="both"/>
        <w:rPr>
          <w:lang w:val="cs-CZ"/>
        </w:rPr>
      </w:pPr>
      <w:r>
        <w:rPr>
          <w:lang w:val="cs-CZ"/>
        </w:rPr>
        <w:t xml:space="preserve">CBRE Group, společnost figurující na žebříčku </w:t>
      </w:r>
      <w:proofErr w:type="spellStart"/>
      <w:r>
        <w:rPr>
          <w:lang w:val="cs-CZ"/>
        </w:rPr>
        <w:t>Fortune</w:t>
      </w:r>
      <w:proofErr w:type="spellEnd"/>
      <w:r>
        <w:rPr>
          <w:lang w:val="cs-CZ"/>
        </w:rPr>
        <w:t xml:space="preserve"> 500 a indexu S&amp;P 500 se sídlem v Dallasu, je světovou vedoucí společností v oblasti realitních služeb a investic (z hlediska výnosů za rok 2020).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4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53CCAB81" w14:textId="77777777" w:rsidR="00DB7F4A" w:rsidRPr="00B45298" w:rsidRDefault="00DB7F4A" w:rsidP="00DB7F4A">
      <w:pPr>
        <w:pStyle w:val="Boilerplate"/>
        <w:rPr>
          <w:rFonts w:ascii="Futura Lt BT Light" w:hAnsi="Futura Lt BT Light"/>
        </w:rPr>
      </w:pPr>
    </w:p>
    <w:p w14:paraId="23EE3D25" w14:textId="77777777" w:rsidR="00DB7F4A" w:rsidRPr="00B45298" w:rsidRDefault="00DB7F4A" w:rsidP="00BA3ACA">
      <w:pPr>
        <w:pStyle w:val="Boilerplate"/>
        <w:rPr>
          <w:rFonts w:ascii="Futura Lt BT Light" w:hAnsi="Futura Lt BT Light"/>
        </w:rPr>
      </w:pPr>
    </w:p>
    <w:sectPr w:rsidR="00DB7F4A" w:rsidRPr="00B45298" w:rsidSect="00E01C37">
      <w:headerReference w:type="default" r:id="rId15"/>
      <w:headerReference w:type="first" r:id="rId16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C2C97" w16cex:dateUtc="2021-12-21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4B4CD4" w16cid:durableId="256C2C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6B3C0" w14:textId="77777777" w:rsidR="003E4EA9" w:rsidRDefault="003E4EA9" w:rsidP="00C63036">
      <w:r>
        <w:separator/>
      </w:r>
    </w:p>
  </w:endnote>
  <w:endnote w:type="continuationSeparator" w:id="0">
    <w:p w14:paraId="17FF2923" w14:textId="77777777" w:rsidR="003E4EA9" w:rsidRDefault="003E4EA9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9CDF" w14:textId="77777777" w:rsidR="003E4EA9" w:rsidRDefault="003E4EA9" w:rsidP="00C63036">
      <w:r>
        <w:separator/>
      </w:r>
    </w:p>
  </w:footnote>
  <w:footnote w:type="continuationSeparator" w:id="0">
    <w:p w14:paraId="3E5275FA" w14:textId="77777777" w:rsidR="003E4EA9" w:rsidRDefault="003E4EA9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C525A2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11123"/>
    <w:rsid w:val="00027BFC"/>
    <w:rsid w:val="00036013"/>
    <w:rsid w:val="00047123"/>
    <w:rsid w:val="00064421"/>
    <w:rsid w:val="00064B63"/>
    <w:rsid w:val="00073176"/>
    <w:rsid w:val="00076B7D"/>
    <w:rsid w:val="00083332"/>
    <w:rsid w:val="000852B4"/>
    <w:rsid w:val="000978B8"/>
    <w:rsid w:val="000A542D"/>
    <w:rsid w:val="000C0ED9"/>
    <w:rsid w:val="000D2F28"/>
    <w:rsid w:val="000E3EC9"/>
    <w:rsid w:val="000E513F"/>
    <w:rsid w:val="000E526C"/>
    <w:rsid w:val="00140E0A"/>
    <w:rsid w:val="00144797"/>
    <w:rsid w:val="00171104"/>
    <w:rsid w:val="00177CB0"/>
    <w:rsid w:val="00185C3B"/>
    <w:rsid w:val="001A0575"/>
    <w:rsid w:val="001A511A"/>
    <w:rsid w:val="001E24E3"/>
    <w:rsid w:val="001E57DD"/>
    <w:rsid w:val="001F3007"/>
    <w:rsid w:val="00201D5E"/>
    <w:rsid w:val="00206799"/>
    <w:rsid w:val="0021614D"/>
    <w:rsid w:val="00223919"/>
    <w:rsid w:val="00226F5A"/>
    <w:rsid w:val="00252372"/>
    <w:rsid w:val="00262BA0"/>
    <w:rsid w:val="00266A9E"/>
    <w:rsid w:val="002674DC"/>
    <w:rsid w:val="00267AD2"/>
    <w:rsid w:val="00293D28"/>
    <w:rsid w:val="00294495"/>
    <w:rsid w:val="002A261E"/>
    <w:rsid w:val="002C36AD"/>
    <w:rsid w:val="002C64B4"/>
    <w:rsid w:val="002C7021"/>
    <w:rsid w:val="002C7033"/>
    <w:rsid w:val="002C7BCA"/>
    <w:rsid w:val="002C98C0"/>
    <w:rsid w:val="002E1BB9"/>
    <w:rsid w:val="002E3D27"/>
    <w:rsid w:val="003033AF"/>
    <w:rsid w:val="00303571"/>
    <w:rsid w:val="00313FE7"/>
    <w:rsid w:val="0033036E"/>
    <w:rsid w:val="00330A0E"/>
    <w:rsid w:val="00336BC6"/>
    <w:rsid w:val="003509E7"/>
    <w:rsid w:val="00364A3D"/>
    <w:rsid w:val="00364ACC"/>
    <w:rsid w:val="003762E9"/>
    <w:rsid w:val="00383844"/>
    <w:rsid w:val="00385EC2"/>
    <w:rsid w:val="003A0E82"/>
    <w:rsid w:val="003B0B9B"/>
    <w:rsid w:val="003B44F1"/>
    <w:rsid w:val="003B708F"/>
    <w:rsid w:val="003E4EA9"/>
    <w:rsid w:val="003F3C34"/>
    <w:rsid w:val="004004C4"/>
    <w:rsid w:val="0040396C"/>
    <w:rsid w:val="00404771"/>
    <w:rsid w:val="00407C9E"/>
    <w:rsid w:val="004113B2"/>
    <w:rsid w:val="00423455"/>
    <w:rsid w:val="00424070"/>
    <w:rsid w:val="00425E49"/>
    <w:rsid w:val="00485562"/>
    <w:rsid w:val="00491E6E"/>
    <w:rsid w:val="004A4C0D"/>
    <w:rsid w:val="004C3FAA"/>
    <w:rsid w:val="004C4C0A"/>
    <w:rsid w:val="004E27E2"/>
    <w:rsid w:val="004E2EE7"/>
    <w:rsid w:val="00502ED9"/>
    <w:rsid w:val="00503209"/>
    <w:rsid w:val="0050793C"/>
    <w:rsid w:val="00512BD9"/>
    <w:rsid w:val="005207FD"/>
    <w:rsid w:val="00521BCC"/>
    <w:rsid w:val="00521CAB"/>
    <w:rsid w:val="00543D63"/>
    <w:rsid w:val="00545FCD"/>
    <w:rsid w:val="0054772F"/>
    <w:rsid w:val="00552462"/>
    <w:rsid w:val="00553A6F"/>
    <w:rsid w:val="00554FEE"/>
    <w:rsid w:val="00555E73"/>
    <w:rsid w:val="005668D7"/>
    <w:rsid w:val="00576FD6"/>
    <w:rsid w:val="00584E27"/>
    <w:rsid w:val="005B3B0D"/>
    <w:rsid w:val="005C1520"/>
    <w:rsid w:val="005C1891"/>
    <w:rsid w:val="005C22BE"/>
    <w:rsid w:val="005F7F99"/>
    <w:rsid w:val="00601627"/>
    <w:rsid w:val="00601D80"/>
    <w:rsid w:val="00601D8C"/>
    <w:rsid w:val="006069F2"/>
    <w:rsid w:val="00611710"/>
    <w:rsid w:val="00612C44"/>
    <w:rsid w:val="00616375"/>
    <w:rsid w:val="00620D13"/>
    <w:rsid w:val="0063267C"/>
    <w:rsid w:val="00643734"/>
    <w:rsid w:val="00661ABD"/>
    <w:rsid w:val="006669A9"/>
    <w:rsid w:val="00670C77"/>
    <w:rsid w:val="006725EE"/>
    <w:rsid w:val="006738F2"/>
    <w:rsid w:val="006828C4"/>
    <w:rsid w:val="00685808"/>
    <w:rsid w:val="00686097"/>
    <w:rsid w:val="00690DBA"/>
    <w:rsid w:val="006A0EEA"/>
    <w:rsid w:val="006B152B"/>
    <w:rsid w:val="006B18D6"/>
    <w:rsid w:val="006C2970"/>
    <w:rsid w:val="006C3991"/>
    <w:rsid w:val="006D60F7"/>
    <w:rsid w:val="006D63A5"/>
    <w:rsid w:val="006F1C7F"/>
    <w:rsid w:val="006F397C"/>
    <w:rsid w:val="007001C2"/>
    <w:rsid w:val="00704CD1"/>
    <w:rsid w:val="00715225"/>
    <w:rsid w:val="00716A5B"/>
    <w:rsid w:val="007176C8"/>
    <w:rsid w:val="00722C2A"/>
    <w:rsid w:val="00736F66"/>
    <w:rsid w:val="00736FC2"/>
    <w:rsid w:val="00740BDE"/>
    <w:rsid w:val="00742D8F"/>
    <w:rsid w:val="00746CEA"/>
    <w:rsid w:val="007678F4"/>
    <w:rsid w:val="007763E8"/>
    <w:rsid w:val="00784715"/>
    <w:rsid w:val="00790F26"/>
    <w:rsid w:val="00793423"/>
    <w:rsid w:val="00794597"/>
    <w:rsid w:val="00797AAD"/>
    <w:rsid w:val="007A29ED"/>
    <w:rsid w:val="007A3613"/>
    <w:rsid w:val="007A3C6C"/>
    <w:rsid w:val="007A6E57"/>
    <w:rsid w:val="007A7D89"/>
    <w:rsid w:val="007C1420"/>
    <w:rsid w:val="007C55CE"/>
    <w:rsid w:val="007D68F8"/>
    <w:rsid w:val="007D6DE1"/>
    <w:rsid w:val="007E236C"/>
    <w:rsid w:val="007E352A"/>
    <w:rsid w:val="007F53DE"/>
    <w:rsid w:val="00805C6A"/>
    <w:rsid w:val="00825E78"/>
    <w:rsid w:val="0082774B"/>
    <w:rsid w:val="00832B51"/>
    <w:rsid w:val="00854777"/>
    <w:rsid w:val="008621C5"/>
    <w:rsid w:val="00881D34"/>
    <w:rsid w:val="008903B4"/>
    <w:rsid w:val="008B1CA0"/>
    <w:rsid w:val="008B3E75"/>
    <w:rsid w:val="008B74A5"/>
    <w:rsid w:val="008E7DAE"/>
    <w:rsid w:val="008F1D24"/>
    <w:rsid w:val="008F1D8F"/>
    <w:rsid w:val="008F4915"/>
    <w:rsid w:val="008F4E12"/>
    <w:rsid w:val="008F765D"/>
    <w:rsid w:val="008F7E63"/>
    <w:rsid w:val="00901711"/>
    <w:rsid w:val="00901939"/>
    <w:rsid w:val="00906EEB"/>
    <w:rsid w:val="00907E35"/>
    <w:rsid w:val="00920933"/>
    <w:rsid w:val="0093155E"/>
    <w:rsid w:val="00934361"/>
    <w:rsid w:val="00936048"/>
    <w:rsid w:val="0094537E"/>
    <w:rsid w:val="0095013A"/>
    <w:rsid w:val="0097392E"/>
    <w:rsid w:val="00977C5D"/>
    <w:rsid w:val="00990231"/>
    <w:rsid w:val="009A362D"/>
    <w:rsid w:val="009A3A68"/>
    <w:rsid w:val="009B0BD1"/>
    <w:rsid w:val="009B2FC6"/>
    <w:rsid w:val="009C04BB"/>
    <w:rsid w:val="009C6ACA"/>
    <w:rsid w:val="009F2AF2"/>
    <w:rsid w:val="00A0001E"/>
    <w:rsid w:val="00A15C2E"/>
    <w:rsid w:val="00A2592E"/>
    <w:rsid w:val="00A26BF0"/>
    <w:rsid w:val="00A355D5"/>
    <w:rsid w:val="00A47539"/>
    <w:rsid w:val="00A5269C"/>
    <w:rsid w:val="00A54714"/>
    <w:rsid w:val="00A54CFB"/>
    <w:rsid w:val="00A67E84"/>
    <w:rsid w:val="00A67F88"/>
    <w:rsid w:val="00A71B8E"/>
    <w:rsid w:val="00A75315"/>
    <w:rsid w:val="00A90A3A"/>
    <w:rsid w:val="00A9707D"/>
    <w:rsid w:val="00AA247D"/>
    <w:rsid w:val="00AB24C1"/>
    <w:rsid w:val="00AB5CFE"/>
    <w:rsid w:val="00AC3FA0"/>
    <w:rsid w:val="00AD6E51"/>
    <w:rsid w:val="00AE098D"/>
    <w:rsid w:val="00AF3022"/>
    <w:rsid w:val="00AF5205"/>
    <w:rsid w:val="00AF6207"/>
    <w:rsid w:val="00B049FB"/>
    <w:rsid w:val="00B13513"/>
    <w:rsid w:val="00B20AEE"/>
    <w:rsid w:val="00B22C77"/>
    <w:rsid w:val="00B25140"/>
    <w:rsid w:val="00B321F5"/>
    <w:rsid w:val="00B33F2E"/>
    <w:rsid w:val="00B443B8"/>
    <w:rsid w:val="00B45156"/>
    <w:rsid w:val="00B45298"/>
    <w:rsid w:val="00B532ED"/>
    <w:rsid w:val="00B627CE"/>
    <w:rsid w:val="00B654E0"/>
    <w:rsid w:val="00B90463"/>
    <w:rsid w:val="00B91D54"/>
    <w:rsid w:val="00B94A16"/>
    <w:rsid w:val="00BA3ACA"/>
    <w:rsid w:val="00BB0E9C"/>
    <w:rsid w:val="00BB71B3"/>
    <w:rsid w:val="00BC28C5"/>
    <w:rsid w:val="00BC4CF9"/>
    <w:rsid w:val="00BD3961"/>
    <w:rsid w:val="00BE1682"/>
    <w:rsid w:val="00BE7B6E"/>
    <w:rsid w:val="00BE7D87"/>
    <w:rsid w:val="00BF76BE"/>
    <w:rsid w:val="00C03912"/>
    <w:rsid w:val="00C179A5"/>
    <w:rsid w:val="00C44A81"/>
    <w:rsid w:val="00C465B8"/>
    <w:rsid w:val="00C50B0A"/>
    <w:rsid w:val="00C63036"/>
    <w:rsid w:val="00C64662"/>
    <w:rsid w:val="00C82832"/>
    <w:rsid w:val="00C83135"/>
    <w:rsid w:val="00C84A05"/>
    <w:rsid w:val="00CA0C88"/>
    <w:rsid w:val="00CA185A"/>
    <w:rsid w:val="00CA2436"/>
    <w:rsid w:val="00CA53E9"/>
    <w:rsid w:val="00CB2C62"/>
    <w:rsid w:val="00CB498B"/>
    <w:rsid w:val="00CC4710"/>
    <w:rsid w:val="00CD06E2"/>
    <w:rsid w:val="00CD0D5F"/>
    <w:rsid w:val="00CD464B"/>
    <w:rsid w:val="00D02039"/>
    <w:rsid w:val="00D136BE"/>
    <w:rsid w:val="00D15FA3"/>
    <w:rsid w:val="00D3006F"/>
    <w:rsid w:val="00D3096F"/>
    <w:rsid w:val="00D30C5C"/>
    <w:rsid w:val="00D37C58"/>
    <w:rsid w:val="00D43EBE"/>
    <w:rsid w:val="00D66CF5"/>
    <w:rsid w:val="00D71EF8"/>
    <w:rsid w:val="00D76255"/>
    <w:rsid w:val="00D8736C"/>
    <w:rsid w:val="00D910D7"/>
    <w:rsid w:val="00DA198E"/>
    <w:rsid w:val="00DA3349"/>
    <w:rsid w:val="00DB1F29"/>
    <w:rsid w:val="00DB4754"/>
    <w:rsid w:val="00DB7F4A"/>
    <w:rsid w:val="00DC0226"/>
    <w:rsid w:val="00DD3D68"/>
    <w:rsid w:val="00DF5F52"/>
    <w:rsid w:val="00E01C37"/>
    <w:rsid w:val="00E02087"/>
    <w:rsid w:val="00E11D59"/>
    <w:rsid w:val="00E14C17"/>
    <w:rsid w:val="00E1641D"/>
    <w:rsid w:val="00E30CD4"/>
    <w:rsid w:val="00E36B2D"/>
    <w:rsid w:val="00E43DD6"/>
    <w:rsid w:val="00E53CA1"/>
    <w:rsid w:val="00E60CFB"/>
    <w:rsid w:val="00E72C5B"/>
    <w:rsid w:val="00E74548"/>
    <w:rsid w:val="00E8031D"/>
    <w:rsid w:val="00E84932"/>
    <w:rsid w:val="00E91CC3"/>
    <w:rsid w:val="00E971BB"/>
    <w:rsid w:val="00EA4B01"/>
    <w:rsid w:val="00EA5F2E"/>
    <w:rsid w:val="00EA74A5"/>
    <w:rsid w:val="00EB3A75"/>
    <w:rsid w:val="00EC298E"/>
    <w:rsid w:val="00EC795B"/>
    <w:rsid w:val="00ED1394"/>
    <w:rsid w:val="00ED366C"/>
    <w:rsid w:val="00F07545"/>
    <w:rsid w:val="00F121C0"/>
    <w:rsid w:val="00F40950"/>
    <w:rsid w:val="00F51DB7"/>
    <w:rsid w:val="00F52687"/>
    <w:rsid w:val="00F60134"/>
    <w:rsid w:val="00F81642"/>
    <w:rsid w:val="00F8210E"/>
    <w:rsid w:val="00FA30D6"/>
    <w:rsid w:val="00FB06BA"/>
    <w:rsid w:val="00FB1853"/>
    <w:rsid w:val="00FB548F"/>
    <w:rsid w:val="00FC5953"/>
    <w:rsid w:val="00FC6E1E"/>
    <w:rsid w:val="00FD197D"/>
    <w:rsid w:val="00FD7B16"/>
    <w:rsid w:val="00FE3BA8"/>
    <w:rsid w:val="00FE5ACB"/>
    <w:rsid w:val="010C20EC"/>
    <w:rsid w:val="012C0D93"/>
    <w:rsid w:val="016F9C12"/>
    <w:rsid w:val="01812A2B"/>
    <w:rsid w:val="0201987E"/>
    <w:rsid w:val="020F879C"/>
    <w:rsid w:val="022FE92F"/>
    <w:rsid w:val="029A0E80"/>
    <w:rsid w:val="02A21E8D"/>
    <w:rsid w:val="03264ECE"/>
    <w:rsid w:val="032F0FF1"/>
    <w:rsid w:val="034B1125"/>
    <w:rsid w:val="03E9A203"/>
    <w:rsid w:val="046BB292"/>
    <w:rsid w:val="04987F3A"/>
    <w:rsid w:val="04A0D39A"/>
    <w:rsid w:val="04A76460"/>
    <w:rsid w:val="04B31EC4"/>
    <w:rsid w:val="04F3F057"/>
    <w:rsid w:val="0540F0F2"/>
    <w:rsid w:val="05772699"/>
    <w:rsid w:val="058A3270"/>
    <w:rsid w:val="05F82D8C"/>
    <w:rsid w:val="0622DE3F"/>
    <w:rsid w:val="06AED279"/>
    <w:rsid w:val="06C7D9E8"/>
    <w:rsid w:val="070CDD2E"/>
    <w:rsid w:val="07714EB4"/>
    <w:rsid w:val="078A3DA8"/>
    <w:rsid w:val="07FAABD4"/>
    <w:rsid w:val="08007F5E"/>
    <w:rsid w:val="08672648"/>
    <w:rsid w:val="08A06D70"/>
    <w:rsid w:val="08F031BB"/>
    <w:rsid w:val="0A90FCC3"/>
    <w:rsid w:val="0A9E6524"/>
    <w:rsid w:val="0AEC38C5"/>
    <w:rsid w:val="0BC6794C"/>
    <w:rsid w:val="0BD0E0C7"/>
    <w:rsid w:val="0BFD0540"/>
    <w:rsid w:val="0C074A34"/>
    <w:rsid w:val="0C7A0704"/>
    <w:rsid w:val="0CCC7DCD"/>
    <w:rsid w:val="0D865E85"/>
    <w:rsid w:val="0D96DAA6"/>
    <w:rsid w:val="0DAEAC62"/>
    <w:rsid w:val="0DCA93C9"/>
    <w:rsid w:val="0E34D07A"/>
    <w:rsid w:val="0E55AB9D"/>
    <w:rsid w:val="0E7139EF"/>
    <w:rsid w:val="0EAE183F"/>
    <w:rsid w:val="0F057F8C"/>
    <w:rsid w:val="0F172DFC"/>
    <w:rsid w:val="0F1F4288"/>
    <w:rsid w:val="0F283FD9"/>
    <w:rsid w:val="0F28A774"/>
    <w:rsid w:val="0F39023C"/>
    <w:rsid w:val="0FAD6607"/>
    <w:rsid w:val="101DBEDA"/>
    <w:rsid w:val="1038B00E"/>
    <w:rsid w:val="10E1992B"/>
    <w:rsid w:val="11260E5B"/>
    <w:rsid w:val="11C0A80A"/>
    <w:rsid w:val="11FDB42D"/>
    <w:rsid w:val="1226A35E"/>
    <w:rsid w:val="12440437"/>
    <w:rsid w:val="12896778"/>
    <w:rsid w:val="129563F9"/>
    <w:rsid w:val="13DC43F8"/>
    <w:rsid w:val="13EBAA22"/>
    <w:rsid w:val="141A9176"/>
    <w:rsid w:val="14688758"/>
    <w:rsid w:val="14D20523"/>
    <w:rsid w:val="1538E99D"/>
    <w:rsid w:val="15505654"/>
    <w:rsid w:val="1554CEDC"/>
    <w:rsid w:val="156539AE"/>
    <w:rsid w:val="157E7761"/>
    <w:rsid w:val="158F1B63"/>
    <w:rsid w:val="15C51D2B"/>
    <w:rsid w:val="164DD074"/>
    <w:rsid w:val="16D12550"/>
    <w:rsid w:val="1754E178"/>
    <w:rsid w:val="176C4FDA"/>
    <w:rsid w:val="17D8B2D0"/>
    <w:rsid w:val="1865F605"/>
    <w:rsid w:val="18E6A21D"/>
    <w:rsid w:val="18F81184"/>
    <w:rsid w:val="19588318"/>
    <w:rsid w:val="19968CAB"/>
    <w:rsid w:val="1998D2B8"/>
    <w:rsid w:val="199D725D"/>
    <w:rsid w:val="19EF471B"/>
    <w:rsid w:val="1A39972A"/>
    <w:rsid w:val="1A649193"/>
    <w:rsid w:val="1A6A5E68"/>
    <w:rsid w:val="1A8965A4"/>
    <w:rsid w:val="1A8BF529"/>
    <w:rsid w:val="1B0CC704"/>
    <w:rsid w:val="1B5847B7"/>
    <w:rsid w:val="1B67323F"/>
    <w:rsid w:val="1B883C50"/>
    <w:rsid w:val="1BA1E0F8"/>
    <w:rsid w:val="1BE85E72"/>
    <w:rsid w:val="1BE86083"/>
    <w:rsid w:val="1C8B4323"/>
    <w:rsid w:val="1CFB72E7"/>
    <w:rsid w:val="1D035AB1"/>
    <w:rsid w:val="1D1004BB"/>
    <w:rsid w:val="1DAB1320"/>
    <w:rsid w:val="1DC422FC"/>
    <w:rsid w:val="1DD6648A"/>
    <w:rsid w:val="1E1EBABF"/>
    <w:rsid w:val="1ED3B012"/>
    <w:rsid w:val="1F4030C1"/>
    <w:rsid w:val="1F468879"/>
    <w:rsid w:val="1F50EE2D"/>
    <w:rsid w:val="1F51066C"/>
    <w:rsid w:val="1F5AABB8"/>
    <w:rsid w:val="1F5CFC46"/>
    <w:rsid w:val="1F872A07"/>
    <w:rsid w:val="201162CB"/>
    <w:rsid w:val="201E295C"/>
    <w:rsid w:val="2022A1E4"/>
    <w:rsid w:val="203C16FD"/>
    <w:rsid w:val="207ADBE0"/>
    <w:rsid w:val="20EA680C"/>
    <w:rsid w:val="213656ED"/>
    <w:rsid w:val="21B31E5D"/>
    <w:rsid w:val="21C49C1C"/>
    <w:rsid w:val="2221379C"/>
    <w:rsid w:val="228784B5"/>
    <w:rsid w:val="22B2D2B8"/>
    <w:rsid w:val="22B358AC"/>
    <w:rsid w:val="232771D8"/>
    <w:rsid w:val="23380E16"/>
    <w:rsid w:val="234A83ED"/>
    <w:rsid w:val="240F7620"/>
    <w:rsid w:val="241A3C23"/>
    <w:rsid w:val="242E7FC3"/>
    <w:rsid w:val="247FCCA7"/>
    <w:rsid w:val="248895F2"/>
    <w:rsid w:val="24D63468"/>
    <w:rsid w:val="24DBFA9B"/>
    <w:rsid w:val="24DF7E3D"/>
    <w:rsid w:val="24F6DA8A"/>
    <w:rsid w:val="2535B059"/>
    <w:rsid w:val="254C2D70"/>
    <w:rsid w:val="259344A4"/>
    <w:rsid w:val="25CC3DCA"/>
    <w:rsid w:val="25EF010D"/>
    <w:rsid w:val="26103CDC"/>
    <w:rsid w:val="262C61AB"/>
    <w:rsid w:val="26660778"/>
    <w:rsid w:val="2751DCE5"/>
    <w:rsid w:val="2768840E"/>
    <w:rsid w:val="27F53721"/>
    <w:rsid w:val="2801D7D9"/>
    <w:rsid w:val="28583C01"/>
    <w:rsid w:val="2893A6ED"/>
    <w:rsid w:val="28EDC0B7"/>
    <w:rsid w:val="290BB5F6"/>
    <w:rsid w:val="294A9DA2"/>
    <w:rsid w:val="295DB411"/>
    <w:rsid w:val="29D8628E"/>
    <w:rsid w:val="2A1B76D2"/>
    <w:rsid w:val="2A2376CF"/>
    <w:rsid w:val="2A4C8FED"/>
    <w:rsid w:val="2A9755AE"/>
    <w:rsid w:val="2AAD9714"/>
    <w:rsid w:val="2AC65E13"/>
    <w:rsid w:val="2AC7C8EC"/>
    <w:rsid w:val="2AE376EC"/>
    <w:rsid w:val="2AFBA43B"/>
    <w:rsid w:val="2B52B469"/>
    <w:rsid w:val="2BC63C71"/>
    <w:rsid w:val="2BF59699"/>
    <w:rsid w:val="2C9AB49C"/>
    <w:rsid w:val="2CA0A436"/>
    <w:rsid w:val="2D78132A"/>
    <w:rsid w:val="2DB134FB"/>
    <w:rsid w:val="2DDCACAE"/>
    <w:rsid w:val="2E91C8E4"/>
    <w:rsid w:val="2F1F8919"/>
    <w:rsid w:val="2F36F7D7"/>
    <w:rsid w:val="2F3BC269"/>
    <w:rsid w:val="2FB30CF3"/>
    <w:rsid w:val="30131900"/>
    <w:rsid w:val="301FF0EE"/>
    <w:rsid w:val="309CD4C2"/>
    <w:rsid w:val="30AC0437"/>
    <w:rsid w:val="30AFFC47"/>
    <w:rsid w:val="30BE5AA8"/>
    <w:rsid w:val="30EFDF5A"/>
    <w:rsid w:val="31A8BA1F"/>
    <w:rsid w:val="31B346DD"/>
    <w:rsid w:val="31B90C48"/>
    <w:rsid w:val="31CC646C"/>
    <w:rsid w:val="31E79D61"/>
    <w:rsid w:val="31F2BA1D"/>
    <w:rsid w:val="320C2856"/>
    <w:rsid w:val="32855886"/>
    <w:rsid w:val="33478975"/>
    <w:rsid w:val="33A84150"/>
    <w:rsid w:val="33C72B91"/>
    <w:rsid w:val="33CAB635"/>
    <w:rsid w:val="33EA1B7F"/>
    <w:rsid w:val="33F90E17"/>
    <w:rsid w:val="33FA7A6E"/>
    <w:rsid w:val="345A85B8"/>
    <w:rsid w:val="346E82F9"/>
    <w:rsid w:val="34772AB3"/>
    <w:rsid w:val="34B36739"/>
    <w:rsid w:val="34F3D5F7"/>
    <w:rsid w:val="35029E74"/>
    <w:rsid w:val="35357598"/>
    <w:rsid w:val="3536646E"/>
    <w:rsid w:val="35B9FB99"/>
    <w:rsid w:val="35C58977"/>
    <w:rsid w:val="35F95341"/>
    <w:rsid w:val="35FF87BF"/>
    <w:rsid w:val="363AE258"/>
    <w:rsid w:val="3695FD8D"/>
    <w:rsid w:val="36B7DD76"/>
    <w:rsid w:val="36BB0E84"/>
    <w:rsid w:val="37131BFA"/>
    <w:rsid w:val="3772BA06"/>
    <w:rsid w:val="378FDD06"/>
    <w:rsid w:val="37AF16AE"/>
    <w:rsid w:val="382082BE"/>
    <w:rsid w:val="384AF64B"/>
    <w:rsid w:val="38872D8D"/>
    <w:rsid w:val="38CB285F"/>
    <w:rsid w:val="38E0D1E5"/>
    <w:rsid w:val="390952F7"/>
    <w:rsid w:val="394DB829"/>
    <w:rsid w:val="39683FA0"/>
    <w:rsid w:val="39CD9E4F"/>
    <w:rsid w:val="39DC58FF"/>
    <w:rsid w:val="39E6C6AC"/>
    <w:rsid w:val="3A34746F"/>
    <w:rsid w:val="3A741921"/>
    <w:rsid w:val="3A749B33"/>
    <w:rsid w:val="3AA52358"/>
    <w:rsid w:val="3B028D90"/>
    <w:rsid w:val="3B696EB0"/>
    <w:rsid w:val="3B8D3EEF"/>
    <w:rsid w:val="3BDC498F"/>
    <w:rsid w:val="3C2DF50C"/>
    <w:rsid w:val="3C341CBF"/>
    <w:rsid w:val="3C4ABF03"/>
    <w:rsid w:val="3C93144D"/>
    <w:rsid w:val="3DB65482"/>
    <w:rsid w:val="3E5F0F9A"/>
    <w:rsid w:val="3E77A8F9"/>
    <w:rsid w:val="3E99E4D6"/>
    <w:rsid w:val="3F799F52"/>
    <w:rsid w:val="4044CD59"/>
    <w:rsid w:val="407210A7"/>
    <w:rsid w:val="4106C111"/>
    <w:rsid w:val="4186D746"/>
    <w:rsid w:val="41F876CB"/>
    <w:rsid w:val="4214E776"/>
    <w:rsid w:val="4254EE62"/>
    <w:rsid w:val="42722983"/>
    <w:rsid w:val="429F1235"/>
    <w:rsid w:val="42B190D3"/>
    <w:rsid w:val="42B2B44D"/>
    <w:rsid w:val="42CCDF42"/>
    <w:rsid w:val="42F65BA5"/>
    <w:rsid w:val="4321D2C6"/>
    <w:rsid w:val="4392A7E9"/>
    <w:rsid w:val="44165FF2"/>
    <w:rsid w:val="448F4225"/>
    <w:rsid w:val="44CD46E4"/>
    <w:rsid w:val="44EDAF86"/>
    <w:rsid w:val="4519D693"/>
    <w:rsid w:val="460413E9"/>
    <w:rsid w:val="465DCCE5"/>
    <w:rsid w:val="465DDD17"/>
    <w:rsid w:val="465F6019"/>
    <w:rsid w:val="468362B6"/>
    <w:rsid w:val="46E1206F"/>
    <w:rsid w:val="4709E48D"/>
    <w:rsid w:val="476A7E03"/>
    <w:rsid w:val="479E2AE6"/>
    <w:rsid w:val="47A00E02"/>
    <w:rsid w:val="47F302AF"/>
    <w:rsid w:val="485F0D2F"/>
    <w:rsid w:val="49440AAD"/>
    <w:rsid w:val="49BCA215"/>
    <w:rsid w:val="4A52F4C8"/>
    <w:rsid w:val="4A5F8DCC"/>
    <w:rsid w:val="4AC47935"/>
    <w:rsid w:val="4B1EEC35"/>
    <w:rsid w:val="4BA0CED2"/>
    <w:rsid w:val="4BCA381F"/>
    <w:rsid w:val="4C2D63C4"/>
    <w:rsid w:val="4C3D1086"/>
    <w:rsid w:val="4C51EFAB"/>
    <w:rsid w:val="4C7F3E07"/>
    <w:rsid w:val="4CF0F7C9"/>
    <w:rsid w:val="4D4BBD16"/>
    <w:rsid w:val="4DA002C9"/>
    <w:rsid w:val="4DB09B85"/>
    <w:rsid w:val="4E3FE1F6"/>
    <w:rsid w:val="4E532143"/>
    <w:rsid w:val="4E7173FB"/>
    <w:rsid w:val="4EABDDA4"/>
    <w:rsid w:val="4EB9E384"/>
    <w:rsid w:val="4ECF4CFC"/>
    <w:rsid w:val="4EE9C064"/>
    <w:rsid w:val="4F53BF71"/>
    <w:rsid w:val="4FBD6568"/>
    <w:rsid w:val="4FFE7704"/>
    <w:rsid w:val="500E55AB"/>
    <w:rsid w:val="50398B61"/>
    <w:rsid w:val="50590238"/>
    <w:rsid w:val="50A375A6"/>
    <w:rsid w:val="50FAA38B"/>
    <w:rsid w:val="510B128C"/>
    <w:rsid w:val="518D0CCA"/>
    <w:rsid w:val="51E03CF0"/>
    <w:rsid w:val="5262F638"/>
    <w:rsid w:val="52A6E2ED"/>
    <w:rsid w:val="537423F5"/>
    <w:rsid w:val="53BEC7D8"/>
    <w:rsid w:val="53F7B734"/>
    <w:rsid w:val="5407AF43"/>
    <w:rsid w:val="5415180D"/>
    <w:rsid w:val="543B5D40"/>
    <w:rsid w:val="54867C04"/>
    <w:rsid w:val="54B4EA68"/>
    <w:rsid w:val="550F4337"/>
    <w:rsid w:val="558E39F8"/>
    <w:rsid w:val="55AF9B0F"/>
    <w:rsid w:val="55FC7E0C"/>
    <w:rsid w:val="561BF19A"/>
    <w:rsid w:val="5638A64D"/>
    <w:rsid w:val="56BAF00E"/>
    <w:rsid w:val="56F76821"/>
    <w:rsid w:val="5784A706"/>
    <w:rsid w:val="57A0E79D"/>
    <w:rsid w:val="57B4AD9F"/>
    <w:rsid w:val="5866C0F5"/>
    <w:rsid w:val="5876E3D0"/>
    <w:rsid w:val="58A4759A"/>
    <w:rsid w:val="59174A56"/>
    <w:rsid w:val="59376A61"/>
    <w:rsid w:val="596C7719"/>
    <w:rsid w:val="596FF479"/>
    <w:rsid w:val="59A6AB34"/>
    <w:rsid w:val="59C50D4B"/>
    <w:rsid w:val="5A6BB27D"/>
    <w:rsid w:val="5AB4268C"/>
    <w:rsid w:val="5B3E1ADF"/>
    <w:rsid w:val="5B4DA10C"/>
    <w:rsid w:val="5B5FE4C4"/>
    <w:rsid w:val="5B88D2BA"/>
    <w:rsid w:val="5BA98C64"/>
    <w:rsid w:val="5BB072D1"/>
    <w:rsid w:val="5BB99BF1"/>
    <w:rsid w:val="5C1637C0"/>
    <w:rsid w:val="5D3DCFB4"/>
    <w:rsid w:val="5D980418"/>
    <w:rsid w:val="5DA67E00"/>
    <w:rsid w:val="5DAEE5D2"/>
    <w:rsid w:val="5DB52E65"/>
    <w:rsid w:val="5E57D6C0"/>
    <w:rsid w:val="5E696E60"/>
    <w:rsid w:val="5F24F525"/>
    <w:rsid w:val="5FC48BF6"/>
    <w:rsid w:val="602091C6"/>
    <w:rsid w:val="60AA25C2"/>
    <w:rsid w:val="60E244D5"/>
    <w:rsid w:val="6109AFAB"/>
    <w:rsid w:val="6131F0A9"/>
    <w:rsid w:val="613586EC"/>
    <w:rsid w:val="615F238F"/>
    <w:rsid w:val="616B6571"/>
    <w:rsid w:val="6186A167"/>
    <w:rsid w:val="61DC8532"/>
    <w:rsid w:val="62021EA9"/>
    <w:rsid w:val="62247919"/>
    <w:rsid w:val="628CE48F"/>
    <w:rsid w:val="62B2199D"/>
    <w:rsid w:val="62B7E94C"/>
    <w:rsid w:val="630E7E81"/>
    <w:rsid w:val="63C9612B"/>
    <w:rsid w:val="63D0F28D"/>
    <w:rsid w:val="6435B64F"/>
    <w:rsid w:val="6441506D"/>
    <w:rsid w:val="64596E90"/>
    <w:rsid w:val="6466FE5C"/>
    <w:rsid w:val="6495D6CD"/>
    <w:rsid w:val="64EC4503"/>
    <w:rsid w:val="64FAA699"/>
    <w:rsid w:val="654C0FB3"/>
    <w:rsid w:val="655B575E"/>
    <w:rsid w:val="6568537C"/>
    <w:rsid w:val="65924FFE"/>
    <w:rsid w:val="6741CFFE"/>
    <w:rsid w:val="67C6D9A1"/>
    <w:rsid w:val="6834829D"/>
    <w:rsid w:val="687FE2EB"/>
    <w:rsid w:val="68945E42"/>
    <w:rsid w:val="68AD8EA0"/>
    <w:rsid w:val="68EC0FB8"/>
    <w:rsid w:val="6907D1F6"/>
    <w:rsid w:val="6929EB87"/>
    <w:rsid w:val="697DC005"/>
    <w:rsid w:val="6A32ACC6"/>
    <w:rsid w:val="6A3B0464"/>
    <w:rsid w:val="6A961CB1"/>
    <w:rsid w:val="6AF4009F"/>
    <w:rsid w:val="6B16173A"/>
    <w:rsid w:val="6B47F168"/>
    <w:rsid w:val="6B48477A"/>
    <w:rsid w:val="6B59C451"/>
    <w:rsid w:val="6BADB55F"/>
    <w:rsid w:val="6BB15E53"/>
    <w:rsid w:val="6BD3E21C"/>
    <w:rsid w:val="6BE0EDA3"/>
    <w:rsid w:val="6C175B87"/>
    <w:rsid w:val="6C4272A4"/>
    <w:rsid w:val="6D14BB5A"/>
    <w:rsid w:val="6D4C524E"/>
    <w:rsid w:val="6DA8FE3B"/>
    <w:rsid w:val="6E2B9701"/>
    <w:rsid w:val="6E361B25"/>
    <w:rsid w:val="6E8FF2E2"/>
    <w:rsid w:val="6E989CB0"/>
    <w:rsid w:val="6F36B9F8"/>
    <w:rsid w:val="6F7CCB32"/>
    <w:rsid w:val="6F8AD520"/>
    <w:rsid w:val="6F95BB11"/>
    <w:rsid w:val="6FAB9D8A"/>
    <w:rsid w:val="6FC602EC"/>
    <w:rsid w:val="7033FE08"/>
    <w:rsid w:val="70590219"/>
    <w:rsid w:val="705DCF6F"/>
    <w:rsid w:val="7077C607"/>
    <w:rsid w:val="70B10D87"/>
    <w:rsid w:val="70D28A59"/>
    <w:rsid w:val="715FDCCE"/>
    <w:rsid w:val="71703505"/>
    <w:rsid w:val="71C4E9B3"/>
    <w:rsid w:val="71DDAC0E"/>
    <w:rsid w:val="7225ACF1"/>
    <w:rsid w:val="724F41B6"/>
    <w:rsid w:val="729875ED"/>
    <w:rsid w:val="72B942C9"/>
    <w:rsid w:val="72C8916E"/>
    <w:rsid w:val="73C16AEE"/>
    <w:rsid w:val="740D4DD7"/>
    <w:rsid w:val="74616E4E"/>
    <w:rsid w:val="748990B0"/>
    <w:rsid w:val="74D0D502"/>
    <w:rsid w:val="75322CF7"/>
    <w:rsid w:val="757EC70B"/>
    <w:rsid w:val="75F38CEE"/>
    <w:rsid w:val="7605F636"/>
    <w:rsid w:val="761461B2"/>
    <w:rsid w:val="76551B72"/>
    <w:rsid w:val="77E1E228"/>
    <w:rsid w:val="78E8FF43"/>
    <w:rsid w:val="7928801A"/>
    <w:rsid w:val="79BD573B"/>
    <w:rsid w:val="79D67016"/>
    <w:rsid w:val="7A95CCB2"/>
    <w:rsid w:val="7AE48A8D"/>
    <w:rsid w:val="7AFBECE0"/>
    <w:rsid w:val="7B900D21"/>
    <w:rsid w:val="7B90A25A"/>
    <w:rsid w:val="7BA9C714"/>
    <w:rsid w:val="7BE3BEE3"/>
    <w:rsid w:val="7C2B1C8E"/>
    <w:rsid w:val="7C5E8958"/>
    <w:rsid w:val="7D0D72B7"/>
    <w:rsid w:val="7D3583E9"/>
    <w:rsid w:val="7D9221C9"/>
    <w:rsid w:val="7DAE460C"/>
    <w:rsid w:val="7DE2B326"/>
    <w:rsid w:val="7E542C75"/>
    <w:rsid w:val="7EC05596"/>
    <w:rsid w:val="7ED99C9F"/>
    <w:rsid w:val="7EF10F36"/>
    <w:rsid w:val="7F013211"/>
    <w:rsid w:val="7F64B362"/>
    <w:rsid w:val="7FFB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47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1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123"/>
    <w:rPr>
      <w:rFonts w:asciiTheme="majorHAnsi" w:eastAsiaTheme="majorEastAsia" w:hAnsiTheme="majorHAnsi" w:cstheme="majorBidi"/>
      <w:color w:val="17294B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ez">
    <w:name w:val="e_z"/>
    <w:basedOn w:val="Normln"/>
    <w:rsid w:val="00047123"/>
    <w:pPr>
      <w:spacing w:before="100" w:beforeAutospacing="1" w:after="100" w:afterAutospacing="1"/>
    </w:pPr>
    <w:rPr>
      <w:lang w:val="cs-CZ" w:eastAsia="cs-CZ"/>
    </w:rPr>
  </w:style>
  <w:style w:type="character" w:customStyle="1" w:styleId="atm-text-decorator">
    <w:name w:val="atm-text-decorator"/>
    <w:basedOn w:val="Standardnpsmoodstavce"/>
    <w:rsid w:val="00047123"/>
  </w:style>
  <w:style w:type="character" w:customStyle="1" w:styleId="mol-formatted-datedate">
    <w:name w:val="mol-formatted-date__date"/>
    <w:basedOn w:val="Standardnpsmoodstavce"/>
    <w:rsid w:val="00047123"/>
  </w:style>
  <w:style w:type="character" w:customStyle="1" w:styleId="mol-formatted-datetime">
    <w:name w:val="mol-formatted-date__time"/>
    <w:basedOn w:val="Standardnpsmoodstavce"/>
    <w:rsid w:val="00047123"/>
  </w:style>
  <w:style w:type="paragraph" w:styleId="Normlnweb">
    <w:name w:val="Normal (Web)"/>
    <w:basedOn w:val="Normln"/>
    <w:uiPriority w:val="99"/>
    <w:semiHidden/>
    <w:unhideWhenUsed/>
    <w:rsid w:val="008F765D"/>
    <w:pPr>
      <w:spacing w:before="100" w:beforeAutospacing="1" w:after="100" w:afterAutospacing="1"/>
    </w:pPr>
    <w:rPr>
      <w:lang w:val="cs-CZ" w:eastAsia="cs-CZ"/>
    </w:rPr>
  </w:style>
  <w:style w:type="character" w:customStyle="1" w:styleId="viiyi">
    <w:name w:val="viiyi"/>
    <w:basedOn w:val="Standardnpsmoodstavce"/>
    <w:rsid w:val="0021614D"/>
  </w:style>
  <w:style w:type="character" w:customStyle="1" w:styleId="jlqj4b">
    <w:name w:val="jlqj4b"/>
    <w:basedOn w:val="Standardnpsmoodstavce"/>
    <w:rsid w:val="0021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3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yperlink" Target="https://www.instagram.com/cbre_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ages/CBRE-News/626929170775263?ref=ts&amp;fref=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mrazova@cb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yperlink" Target="http://www.cbre.cz" TargetMode="Externa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89A5-70B9-4CA2-A4BC-2B946619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15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5</cp:revision>
  <dcterms:created xsi:type="dcterms:W3CDTF">2021-12-21T10:33:00Z</dcterms:created>
  <dcterms:modified xsi:type="dcterms:W3CDTF">2021-12-22T09:28:00Z</dcterms:modified>
</cp:coreProperties>
</file>